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E4CAB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default" w:ascii="黑体" w:hAnsi="黑体" w:eastAsia="黑体" w:cs="黑体"/>
          <w:b w:val="0"/>
          <w:bCs w:val="0"/>
          <w:i w:val="0"/>
          <w:iCs w:val="0"/>
          <w:caps w:val="0"/>
          <w:color w:val="333333"/>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333333"/>
          <w:spacing w:val="0"/>
          <w:kern w:val="0"/>
          <w:sz w:val="32"/>
          <w:szCs w:val="32"/>
          <w:shd w:val="clear" w:color="auto" w:fill="FFFFFF"/>
          <w:lang w:val="en-US" w:eastAsia="zh-CN" w:bidi="ar"/>
        </w:rPr>
        <w:t>附件1</w:t>
      </w:r>
    </w:p>
    <w:p w14:paraId="3DE9C555">
      <w:pPr>
        <w:keepNext w:val="0"/>
        <w:keepLines w:val="0"/>
        <w:pageBreakBefore w:val="0"/>
        <w:widowControl/>
        <w:kinsoku/>
        <w:wordWrap/>
        <w:overflowPunct/>
        <w:topLinePunct w:val="0"/>
        <w:autoSpaceDE/>
        <w:autoSpaceDN/>
        <w:bidi w:val="0"/>
        <w:adjustRightInd/>
        <w:snapToGrid/>
        <w:spacing w:line="579" w:lineRule="exact"/>
        <w:ind w:left="0" w:leftChars="0" w:right="0" w:rightChars="0" w:firstLine="0" w:firstLineChars="0"/>
        <w:jc w:val="center"/>
        <w:textAlignment w:val="auto"/>
        <w:rPr>
          <w:rFonts w:hint="eastAsia" w:ascii="方正小标宋_GBK" w:hAnsi="方正小标宋_GBK" w:eastAsia="方正小标宋_GBK" w:cs="方正小标宋_GBK"/>
          <w:sz w:val="44"/>
          <w:szCs w:val="44"/>
          <w:lang w:val="en-US" w:eastAsia="zh-CN"/>
        </w:rPr>
      </w:pPr>
    </w:p>
    <w:p w14:paraId="3F942A1E">
      <w:pPr>
        <w:keepNext w:val="0"/>
        <w:keepLines w:val="0"/>
        <w:pageBreakBefore w:val="0"/>
        <w:widowControl/>
        <w:kinsoku/>
        <w:wordWrap/>
        <w:overflowPunct/>
        <w:topLinePunct w:val="0"/>
        <w:autoSpaceDE/>
        <w:autoSpaceDN/>
        <w:bidi w:val="0"/>
        <w:adjustRightInd/>
        <w:snapToGrid/>
        <w:spacing w:line="579" w:lineRule="exact"/>
        <w:ind w:left="0" w:leftChars="0" w:right="0" w:rightChars="0" w:firstLine="0" w:firstLineChars="0"/>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池州</w:t>
      </w:r>
      <w:r>
        <w:rPr>
          <w:rFonts w:hint="default" w:ascii="方正小标宋_GBK" w:hAnsi="方正小标宋_GBK" w:eastAsia="方正小标宋_GBK" w:cs="方正小标宋_GBK"/>
          <w:sz w:val="44"/>
          <w:szCs w:val="44"/>
        </w:rPr>
        <w:t>市</w:t>
      </w:r>
      <w:r>
        <w:rPr>
          <w:rFonts w:hint="eastAsia" w:ascii="方正小标宋_GBK" w:hAnsi="方正小标宋_GBK" w:eastAsia="方正小标宋_GBK" w:cs="方正小标宋_GBK"/>
          <w:sz w:val="44"/>
          <w:szCs w:val="44"/>
        </w:rPr>
        <w:t>老年人能力评估实施办法</w:t>
      </w:r>
      <w:r>
        <w:rPr>
          <w:rFonts w:hint="eastAsia" w:ascii="方正小标宋_GBK" w:hAnsi="方正小标宋_GBK" w:eastAsia="方正小标宋_GBK" w:cs="方正小标宋_GBK"/>
          <w:sz w:val="44"/>
          <w:szCs w:val="44"/>
          <w:lang w:eastAsia="zh-CN"/>
        </w:rPr>
        <w:t>（</w:t>
      </w:r>
      <w:r>
        <w:rPr>
          <w:rFonts w:hint="eastAsia" w:ascii="方正小标宋_GBK" w:hAnsi="方正小标宋_GBK" w:eastAsia="方正小标宋_GBK" w:cs="方正小标宋_GBK"/>
          <w:sz w:val="44"/>
          <w:szCs w:val="44"/>
          <w:lang w:val="en-US" w:eastAsia="zh-CN"/>
        </w:rPr>
        <w:t>试行）</w:t>
      </w:r>
    </w:p>
    <w:p w14:paraId="4DFBEFA7">
      <w:pPr>
        <w:keepNext w:val="0"/>
        <w:keepLines w:val="0"/>
        <w:pageBreakBefore w:val="0"/>
        <w:widowControl/>
        <w:kinsoku/>
        <w:wordWrap/>
        <w:overflowPunct/>
        <w:topLinePunct w:val="0"/>
        <w:autoSpaceDE/>
        <w:autoSpaceDN/>
        <w:bidi w:val="0"/>
        <w:adjustRightInd/>
        <w:snapToGrid/>
        <w:spacing w:line="579" w:lineRule="exact"/>
        <w:ind w:left="0" w:leftChars="0" w:right="0" w:rightChars="0" w:firstLine="0" w:firstLineChars="0"/>
        <w:jc w:val="center"/>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（征求意见稿）</w:t>
      </w:r>
    </w:p>
    <w:p w14:paraId="52D9F6BF">
      <w:pPr>
        <w:pStyle w:val="11"/>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pPr>
      <w:r>
        <w:t>第一章 总</w:t>
      </w:r>
      <w:r>
        <w:rPr>
          <w:rFonts w:hint="eastAsia"/>
          <w:lang w:val="en-US" w:eastAsia="zh-CN"/>
        </w:rPr>
        <w:t xml:space="preserve"> </w:t>
      </w:r>
      <w:r>
        <w:t>则</w:t>
      </w:r>
    </w:p>
    <w:p w14:paraId="2ACB55B1">
      <w:pPr>
        <w:pStyle w:val="4"/>
        <w:keepNext w:val="0"/>
        <w:keepLines w:val="0"/>
        <w:pageBreakBefore w:val="0"/>
        <w:widowControl w:val="0"/>
        <w:kinsoku/>
        <w:wordWrap/>
        <w:overflowPunct/>
        <w:topLinePunct w:val="0"/>
        <w:autoSpaceDE/>
        <w:autoSpaceDN/>
        <w:bidi w:val="0"/>
        <w:adjustRightInd/>
        <w:snapToGrid/>
        <w:textAlignment w:val="auto"/>
      </w:pPr>
      <w:r>
        <w:rPr>
          <w:rFonts w:hint="eastAsia" w:ascii="黑体" w:hAnsi="黑体" w:eastAsia="黑体" w:cs="黑体"/>
          <w:b w:val="0"/>
          <w:bCs/>
        </w:rPr>
        <w:t xml:space="preserve">第一条 </w:t>
      </w:r>
      <w:r>
        <w:rPr>
          <w:rFonts w:hint="eastAsia"/>
        </w:rPr>
        <w:t>为科学、规范、有序地开展老年人能力评估工作，精准掌握老年人能力状况，为老年人享受相关养老服务、补贴和政策提供依据，促进养老服务资源合理配置，根据《中华人民共和国老年人权益保障法》、《中共中央 国务院关于加强新时代老龄工作的意见》、《民政部关于进一步扩大养老服务供给</w:t>
      </w:r>
      <w:bookmarkStart w:id="0" w:name="_GoBack"/>
      <w:bookmarkEnd w:id="0"/>
      <w:r>
        <w:rPr>
          <w:rFonts w:hint="eastAsia"/>
        </w:rPr>
        <w:t>促进养老服务消费的实施意见》以及《老年人能力评估规范》（GB/T 42195-2022）等法律法规、政策文件和国家标准，结合本市实际，制定本办法。</w:t>
      </w:r>
    </w:p>
    <w:p w14:paraId="088FC896">
      <w:pPr>
        <w:pStyle w:val="4"/>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r>
        <w:rPr>
          <w:rFonts w:hint="eastAsia" w:ascii="黑体" w:hAnsi="黑体" w:eastAsia="黑体" w:cs="黑体"/>
          <w:b w:val="0"/>
          <w:bCs/>
        </w:rPr>
        <w:t xml:space="preserve">第二条 </w:t>
      </w:r>
      <w:r>
        <w:rPr>
          <w:rFonts w:hint="eastAsia"/>
        </w:rPr>
        <w:t>本细则所称老年人能力评估，是指对具有照护需求且符合规定条件的老年人，按照全市统一的评估标准，通过一定程序，对老年人日常生活活动、精神状态、感知觉与沟通、社会参与等方面的能力进行综合分析评价，并确定能力等级的活动。</w:t>
      </w:r>
    </w:p>
    <w:p w14:paraId="70EFAD82">
      <w:pPr>
        <w:pStyle w:val="4"/>
        <w:keepNext w:val="0"/>
        <w:keepLines w:val="0"/>
        <w:pageBreakBefore w:val="0"/>
        <w:widowControl w:val="0"/>
        <w:kinsoku/>
        <w:wordWrap/>
        <w:overflowPunct/>
        <w:topLinePunct w:val="0"/>
        <w:autoSpaceDE/>
        <w:autoSpaceDN/>
        <w:bidi w:val="0"/>
        <w:adjustRightInd/>
        <w:snapToGrid/>
        <w:ind w:left="0" w:leftChars="0" w:firstLine="616" w:firstLineChars="200"/>
        <w:textAlignment w:val="auto"/>
      </w:pPr>
      <w:r>
        <w:rPr>
          <w:rFonts w:hint="eastAsia" w:ascii="黑体" w:hAnsi="黑体" w:eastAsia="黑体" w:cs="黑体"/>
          <w:b w:val="0"/>
          <w:bCs/>
        </w:rPr>
        <w:t>第</w:t>
      </w:r>
      <w:r>
        <w:rPr>
          <w:rFonts w:hint="eastAsia" w:ascii="黑体" w:hAnsi="黑体" w:eastAsia="黑体" w:cs="黑体"/>
          <w:b w:val="0"/>
          <w:bCs/>
          <w:lang w:val="en-US" w:eastAsia="zh-CN"/>
        </w:rPr>
        <w:t>三</w:t>
      </w:r>
      <w:r>
        <w:rPr>
          <w:rFonts w:hint="eastAsia" w:ascii="黑体" w:hAnsi="黑体" w:eastAsia="黑体" w:cs="黑体"/>
          <w:b w:val="0"/>
          <w:bCs/>
        </w:rPr>
        <w:t xml:space="preserve">条 </w:t>
      </w:r>
      <w:r>
        <w:t>老年人能力评估工作应遵循以下原则：</w:t>
      </w:r>
    </w:p>
    <w:p w14:paraId="74AA5D03">
      <w:pPr>
        <w:pStyle w:val="4"/>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0"/>
        <w:textAlignment w:val="auto"/>
        <w:rPr>
          <w:rFonts w:hint="eastAsia" w:ascii="楷体_GB2312" w:hAnsi="楷体_GB2312" w:eastAsia="楷体_GB2312" w:cs="楷体_GB2312"/>
          <w:b w:val="0"/>
        </w:rPr>
      </w:pPr>
      <w:r>
        <w:rPr>
          <w:rStyle w:val="12"/>
        </w:rPr>
        <w:t>自愿申请原则</w:t>
      </w:r>
      <w:r>
        <w:t>：评估应尊重老年人及其家属意愿，由本人或代理人提出申请。</w:t>
      </w:r>
    </w:p>
    <w:p w14:paraId="66AB4D4B">
      <w:pPr>
        <w:pStyle w:val="4"/>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0"/>
        <w:textAlignment w:val="auto"/>
        <w:rPr>
          <w:rFonts w:hint="eastAsia" w:ascii="楷体_GB2312" w:hAnsi="楷体_GB2312" w:eastAsia="楷体_GB2312" w:cs="楷体_GB2312"/>
          <w:b w:val="0"/>
        </w:rPr>
      </w:pPr>
      <w:r>
        <w:rPr>
          <w:rStyle w:val="12"/>
        </w:rPr>
        <w:t>客观公正原则</w:t>
      </w:r>
      <w:r>
        <w:t>：评估过程与结果应实事求是，确保公平、公正、公开。</w:t>
      </w:r>
    </w:p>
    <w:p w14:paraId="7CD4E8B0">
      <w:pPr>
        <w:pStyle w:val="4"/>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0"/>
        <w:textAlignment w:val="auto"/>
        <w:rPr>
          <w:rFonts w:hint="eastAsia" w:ascii="楷体_GB2312" w:hAnsi="楷体_GB2312" w:eastAsia="楷体_GB2312" w:cs="楷体_GB2312"/>
          <w:b w:val="0"/>
        </w:rPr>
      </w:pPr>
      <w:r>
        <w:rPr>
          <w:rStyle w:val="12"/>
        </w:rPr>
        <w:t>科学规范原则</w:t>
      </w:r>
      <w:r>
        <w:t>：严格依照国家标准和本办法规定的流程、工具进行。</w:t>
      </w:r>
    </w:p>
    <w:p w14:paraId="1310C3C2">
      <w:pPr>
        <w:pStyle w:val="4"/>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0"/>
        <w:textAlignment w:val="auto"/>
        <w:rPr>
          <w:rFonts w:hint="eastAsia" w:ascii="楷体_GB2312" w:hAnsi="楷体_GB2312" w:eastAsia="楷体_GB2312" w:cs="楷体_GB2312"/>
          <w:b w:val="0"/>
        </w:rPr>
      </w:pPr>
      <w:r>
        <w:rPr>
          <w:rStyle w:val="12"/>
        </w:rPr>
        <w:t>保护隐私原则</w:t>
      </w:r>
      <w:r>
        <w:t>：对评估过程中知悉的老年人个人信息予以保密，不得向无关方泄露。</w:t>
      </w:r>
    </w:p>
    <w:p w14:paraId="36CC420C">
      <w:pPr>
        <w:pStyle w:val="11"/>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pPr>
      <w:r>
        <w:t>第二章 评估对象与内容</w:t>
      </w:r>
    </w:p>
    <w:p w14:paraId="487D2D9B">
      <w:pPr>
        <w:pStyle w:val="2"/>
        <w:keepNext w:val="0"/>
        <w:keepLines w:val="0"/>
        <w:pageBreakBefore w:val="0"/>
        <w:widowControl w:val="0"/>
        <w:kinsoku/>
        <w:wordWrap/>
        <w:overflowPunct/>
        <w:topLinePunct w:val="0"/>
        <w:autoSpaceDE/>
        <w:autoSpaceDN/>
        <w:bidi w:val="0"/>
        <w:adjustRightInd/>
        <w:snapToGrid/>
        <w:jc w:val="both"/>
        <w:textAlignment w:val="auto"/>
      </w:pPr>
      <w:r>
        <w:t>第</w:t>
      </w:r>
      <w:r>
        <w:rPr>
          <w:rFonts w:hint="eastAsia"/>
          <w:lang w:val="en-US" w:eastAsia="zh-CN"/>
        </w:rPr>
        <w:t>四</w:t>
      </w:r>
      <w:r>
        <w:t>条 评估对象：</w:t>
      </w:r>
    </w:p>
    <w:p w14:paraId="6D47DB89">
      <w:pPr>
        <w:pStyle w:val="4"/>
        <w:keepNext w:val="0"/>
        <w:keepLines w:val="0"/>
        <w:pageBreakBefore w:val="0"/>
        <w:widowControl w:val="0"/>
        <w:numPr>
          <w:ilvl w:val="0"/>
          <w:numId w:val="2"/>
        </w:numPr>
        <w:kinsoku/>
        <w:wordWrap/>
        <w:overflowPunct/>
        <w:topLinePunct w:val="0"/>
        <w:autoSpaceDE/>
        <w:autoSpaceDN/>
        <w:bidi w:val="0"/>
        <w:adjustRightInd/>
        <w:snapToGrid/>
        <w:ind w:left="0" w:leftChars="0" w:firstLine="616" w:firstLineChars="0"/>
        <w:jc w:val="both"/>
        <w:textAlignment w:val="auto"/>
        <w:rPr>
          <w:b w:val="0"/>
        </w:rPr>
      </w:pPr>
      <w:r>
        <w:t>申请政府养老服务补贴（如</w:t>
      </w:r>
      <w:r>
        <w:rPr>
          <w:rFonts w:hint="eastAsia"/>
          <w:lang w:val="en-US" w:eastAsia="zh-CN"/>
        </w:rPr>
        <w:t>低收入老年人居家养老服务补贴、经济困难失能失智老年人护理补贴、养老机构床位运营补贴等补贴</w:t>
      </w:r>
      <w:r>
        <w:t>）的老年人；</w:t>
      </w:r>
    </w:p>
    <w:p w14:paraId="2F8D5B9D">
      <w:pPr>
        <w:pStyle w:val="4"/>
        <w:keepNext w:val="0"/>
        <w:keepLines w:val="0"/>
        <w:pageBreakBefore w:val="0"/>
        <w:widowControl w:val="0"/>
        <w:numPr>
          <w:ilvl w:val="0"/>
          <w:numId w:val="2"/>
        </w:numPr>
        <w:kinsoku/>
        <w:wordWrap/>
        <w:overflowPunct/>
        <w:topLinePunct w:val="0"/>
        <w:autoSpaceDE/>
        <w:autoSpaceDN/>
        <w:bidi w:val="0"/>
        <w:adjustRightInd/>
        <w:snapToGrid/>
        <w:ind w:left="0" w:leftChars="0" w:firstLine="616" w:firstLineChars="0"/>
        <w:jc w:val="both"/>
        <w:textAlignment w:val="auto"/>
        <w:rPr>
          <w:b w:val="0"/>
        </w:rPr>
      </w:pPr>
      <w:r>
        <w:t>申请入住政府投资兴办的养老机构或</w:t>
      </w:r>
      <w:r>
        <w:rPr>
          <w:rFonts w:hint="eastAsia"/>
          <w:lang w:val="en-US" w:eastAsia="zh-CN"/>
        </w:rPr>
        <w:t>办理家庭养老床位</w:t>
      </w:r>
      <w:r>
        <w:t>的老年人；</w:t>
      </w:r>
    </w:p>
    <w:p w14:paraId="6FC195A9">
      <w:pPr>
        <w:pStyle w:val="4"/>
        <w:keepNext w:val="0"/>
        <w:keepLines w:val="0"/>
        <w:pageBreakBefore w:val="0"/>
        <w:widowControl w:val="0"/>
        <w:numPr>
          <w:ilvl w:val="0"/>
          <w:numId w:val="2"/>
        </w:numPr>
        <w:kinsoku/>
        <w:wordWrap/>
        <w:overflowPunct/>
        <w:topLinePunct w:val="0"/>
        <w:autoSpaceDE/>
        <w:autoSpaceDN/>
        <w:bidi w:val="0"/>
        <w:adjustRightInd/>
        <w:snapToGrid/>
        <w:ind w:left="0" w:leftChars="0" w:firstLine="616" w:firstLineChars="0"/>
        <w:jc w:val="both"/>
        <w:textAlignment w:val="auto"/>
        <w:rPr>
          <w:b w:val="0"/>
        </w:rPr>
      </w:pPr>
      <w:r>
        <w:t>需要依据评估结果制定或调整照护计划的老年人；</w:t>
      </w:r>
    </w:p>
    <w:p w14:paraId="43472A4C">
      <w:pPr>
        <w:pStyle w:val="4"/>
        <w:keepNext w:val="0"/>
        <w:keepLines w:val="0"/>
        <w:pageBreakBefore w:val="0"/>
        <w:widowControl w:val="0"/>
        <w:numPr>
          <w:ilvl w:val="0"/>
          <w:numId w:val="2"/>
        </w:numPr>
        <w:kinsoku/>
        <w:wordWrap/>
        <w:overflowPunct/>
        <w:topLinePunct w:val="0"/>
        <w:autoSpaceDE/>
        <w:autoSpaceDN/>
        <w:bidi w:val="0"/>
        <w:adjustRightInd/>
        <w:snapToGrid/>
        <w:ind w:left="0" w:leftChars="0" w:firstLine="616" w:firstLineChars="0"/>
        <w:jc w:val="both"/>
        <w:textAlignment w:val="auto"/>
        <w:rPr>
          <w:rFonts w:hint="eastAsia" w:ascii="仿宋_GB2312" w:hAnsi="仿宋_GB2312" w:eastAsia="仿宋_GB2312" w:cs="仿宋_GB2312"/>
          <w:sz w:val="32"/>
          <w:szCs w:val="32"/>
        </w:rPr>
      </w:pPr>
      <w:r>
        <w:t>其他依照规定需要接受能力评估的老年人。</w:t>
      </w:r>
    </w:p>
    <w:p w14:paraId="305DA346">
      <w:pPr>
        <w:pStyle w:val="2"/>
        <w:keepNext w:val="0"/>
        <w:keepLines w:val="0"/>
        <w:pageBreakBefore w:val="0"/>
        <w:widowControl w:val="0"/>
        <w:kinsoku/>
        <w:wordWrap/>
        <w:overflowPunct/>
        <w:topLinePunct w:val="0"/>
        <w:autoSpaceDE/>
        <w:autoSpaceDN/>
        <w:bidi w:val="0"/>
        <w:adjustRightInd/>
        <w:snapToGrid/>
        <w:jc w:val="both"/>
        <w:textAlignment w:val="auto"/>
      </w:pPr>
      <w:r>
        <w:t>第</w:t>
      </w:r>
      <w:r>
        <w:rPr>
          <w:rFonts w:hint="eastAsia"/>
          <w:lang w:val="en-US" w:eastAsia="zh-CN"/>
        </w:rPr>
        <w:t>五</w:t>
      </w:r>
      <w:r>
        <w:t>条 评估内容：</w:t>
      </w:r>
    </w:p>
    <w:p w14:paraId="1766F931">
      <w:pPr>
        <w:pStyle w:val="4"/>
        <w:keepNext w:val="0"/>
        <w:keepLines w:val="0"/>
        <w:pageBreakBefore w:val="0"/>
        <w:widowControl w:val="0"/>
        <w:kinsoku/>
        <w:wordWrap/>
        <w:overflowPunct/>
        <w:topLinePunct w:val="0"/>
        <w:autoSpaceDE/>
        <w:autoSpaceDN/>
        <w:bidi w:val="0"/>
        <w:adjustRightInd/>
        <w:snapToGrid/>
        <w:jc w:val="both"/>
        <w:textAlignment w:val="auto"/>
      </w:pPr>
      <w:r>
        <w:t>依据《老年人能力评估规范》（GB／T 42195－2022）国家标准，评估内容包括以下四个一级指标：</w:t>
      </w:r>
    </w:p>
    <w:p w14:paraId="2FFBFECB">
      <w:pPr>
        <w:pStyle w:val="4"/>
        <w:keepNext w:val="0"/>
        <w:keepLines w:val="0"/>
        <w:pageBreakBefore w:val="0"/>
        <w:widowControl w:val="0"/>
        <w:numPr>
          <w:ilvl w:val="0"/>
          <w:numId w:val="3"/>
        </w:numPr>
        <w:kinsoku/>
        <w:wordWrap/>
        <w:overflowPunct/>
        <w:topLinePunct w:val="0"/>
        <w:autoSpaceDE/>
        <w:autoSpaceDN/>
        <w:bidi w:val="0"/>
        <w:adjustRightInd/>
        <w:snapToGrid/>
        <w:ind w:left="0" w:leftChars="0" w:firstLine="616" w:firstLineChars="0"/>
        <w:jc w:val="both"/>
        <w:textAlignment w:val="auto"/>
        <w:rPr>
          <w:rFonts w:hint="eastAsia" w:ascii="楷体_GB2312" w:hAnsi="楷体_GB2312" w:eastAsia="楷体_GB2312" w:cs="楷体_GB2312"/>
          <w:b w:val="0"/>
        </w:rPr>
      </w:pPr>
      <w:r>
        <w:rPr>
          <w:rStyle w:val="12"/>
        </w:rPr>
        <w:t>日常生活活动</w:t>
      </w:r>
      <w:r>
        <w:t>：包括进食、穿衣、如厕、洗浴、行走、移动等基本生活自理能力。</w:t>
      </w:r>
    </w:p>
    <w:p w14:paraId="05F6B31F">
      <w:pPr>
        <w:pStyle w:val="4"/>
        <w:keepNext w:val="0"/>
        <w:keepLines w:val="0"/>
        <w:pageBreakBefore w:val="0"/>
        <w:widowControl w:val="0"/>
        <w:numPr>
          <w:ilvl w:val="0"/>
          <w:numId w:val="3"/>
        </w:numPr>
        <w:kinsoku/>
        <w:wordWrap/>
        <w:overflowPunct/>
        <w:topLinePunct w:val="0"/>
        <w:autoSpaceDE/>
        <w:autoSpaceDN/>
        <w:bidi w:val="0"/>
        <w:adjustRightInd/>
        <w:snapToGrid/>
        <w:ind w:left="0" w:leftChars="0" w:firstLine="616" w:firstLineChars="0"/>
        <w:jc w:val="both"/>
        <w:textAlignment w:val="auto"/>
        <w:rPr>
          <w:rFonts w:hint="eastAsia" w:ascii="楷体_GB2312" w:hAnsi="楷体_GB2312" w:eastAsia="楷体_GB2312" w:cs="楷体_GB2312"/>
          <w:b w:val="0"/>
        </w:rPr>
      </w:pPr>
      <w:r>
        <w:rPr>
          <w:rStyle w:val="12"/>
        </w:rPr>
        <w:t>精神状态</w:t>
      </w:r>
      <w:r>
        <w:t>：包括认知功能、攻击行为、抑郁症状等。</w:t>
      </w:r>
    </w:p>
    <w:p w14:paraId="3C4BC482">
      <w:pPr>
        <w:pStyle w:val="4"/>
        <w:keepNext w:val="0"/>
        <w:keepLines w:val="0"/>
        <w:pageBreakBefore w:val="0"/>
        <w:widowControl w:val="0"/>
        <w:numPr>
          <w:ilvl w:val="0"/>
          <w:numId w:val="3"/>
        </w:numPr>
        <w:kinsoku/>
        <w:wordWrap/>
        <w:overflowPunct/>
        <w:topLinePunct w:val="0"/>
        <w:autoSpaceDE/>
        <w:autoSpaceDN/>
        <w:bidi w:val="0"/>
        <w:adjustRightInd/>
        <w:snapToGrid/>
        <w:ind w:left="0" w:leftChars="0" w:firstLine="616" w:firstLineChars="0"/>
        <w:jc w:val="both"/>
        <w:textAlignment w:val="auto"/>
        <w:rPr>
          <w:rFonts w:hint="eastAsia" w:ascii="楷体_GB2312" w:hAnsi="楷体_GB2312" w:eastAsia="楷体_GB2312" w:cs="楷体_GB2312"/>
          <w:b w:val="0"/>
        </w:rPr>
      </w:pPr>
      <w:r>
        <w:rPr>
          <w:rStyle w:val="12"/>
        </w:rPr>
        <w:t>感知觉与沟通</w:t>
      </w:r>
      <w:r>
        <w:t>：包括意识水平、视力、听力、沟通交流能力。</w:t>
      </w:r>
    </w:p>
    <w:p w14:paraId="4396B2E5">
      <w:pPr>
        <w:pStyle w:val="4"/>
        <w:keepNext w:val="0"/>
        <w:keepLines w:val="0"/>
        <w:pageBreakBefore w:val="0"/>
        <w:widowControl w:val="0"/>
        <w:numPr>
          <w:ilvl w:val="0"/>
          <w:numId w:val="3"/>
        </w:numPr>
        <w:kinsoku/>
        <w:wordWrap/>
        <w:overflowPunct/>
        <w:topLinePunct w:val="0"/>
        <w:autoSpaceDE/>
        <w:autoSpaceDN/>
        <w:bidi w:val="0"/>
        <w:adjustRightInd/>
        <w:snapToGrid/>
        <w:ind w:left="0" w:leftChars="0" w:firstLine="616" w:firstLineChars="0"/>
        <w:jc w:val="both"/>
        <w:textAlignment w:val="auto"/>
        <w:rPr>
          <w:rFonts w:hint="eastAsia" w:ascii="楷体_GB2312" w:hAnsi="楷体_GB2312" w:eastAsia="楷体_GB2312" w:cs="楷体_GB2312"/>
          <w:b w:val="0"/>
        </w:rPr>
      </w:pPr>
      <w:r>
        <w:rPr>
          <w:rStyle w:val="12"/>
        </w:rPr>
        <w:t>社会参与</w:t>
      </w:r>
      <w:r>
        <w:t>：包括生活能力、工作能力、时间／空间定向、人物定向、社会交往能力。</w:t>
      </w:r>
    </w:p>
    <w:p w14:paraId="5E58BBE9">
      <w:pPr>
        <w:pStyle w:val="11"/>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pPr>
      <w:r>
        <w:rPr>
          <w:rFonts w:hint="eastAsia"/>
          <w:lang w:val="en-US" w:eastAsia="zh-CN"/>
        </w:rPr>
        <w:t xml:space="preserve">第三章 </w:t>
      </w:r>
      <w:r>
        <w:t>评估机构与人员</w:t>
      </w:r>
    </w:p>
    <w:p w14:paraId="29127C60">
      <w:pPr>
        <w:pStyle w:val="11"/>
        <w:keepNext w:val="0"/>
        <w:keepLines w:val="0"/>
        <w:pageBreakBefore w:val="0"/>
        <w:widowControl w:val="0"/>
        <w:numPr>
          <w:ilvl w:val="0"/>
          <w:numId w:val="0"/>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b w:val="0"/>
          <w:bCs/>
        </w:rPr>
      </w:pPr>
      <w:r>
        <w:rPr>
          <w:rFonts w:hint="eastAsia" w:ascii="黑体" w:hAnsi="黑体" w:eastAsia="黑体" w:cs="黑体"/>
          <w:b w:val="0"/>
          <w:bCs/>
          <w:lang w:val="en-US" w:eastAsia="zh-CN"/>
        </w:rPr>
        <w:t xml:space="preserve">第六条 </w:t>
      </w:r>
      <w:r>
        <w:rPr>
          <w:rFonts w:hint="eastAsia" w:ascii="仿宋_GB2312" w:hAnsi="仿宋_GB2312" w:eastAsia="仿宋_GB2312" w:cs="仿宋_GB2312"/>
          <w:b w:val="0"/>
          <w:bCs/>
        </w:rPr>
        <w:t>市民政局负责制定全市老年人能力评估政策，对</w:t>
      </w:r>
      <w:r>
        <w:rPr>
          <w:rFonts w:hint="eastAsia" w:ascii="仿宋_GB2312" w:hAnsi="仿宋_GB2312" w:eastAsia="仿宋_GB2312" w:cs="仿宋_GB2312"/>
          <w:b w:val="0"/>
          <w:bCs/>
          <w:lang w:val="en-US" w:eastAsia="zh-CN"/>
        </w:rPr>
        <w:t>县区</w:t>
      </w:r>
      <w:r>
        <w:rPr>
          <w:rFonts w:hint="eastAsia" w:ascii="仿宋_GB2312" w:hAnsi="仿宋_GB2312" w:eastAsia="仿宋_GB2312" w:cs="仿宋_GB2312"/>
          <w:b w:val="0"/>
          <w:bCs/>
        </w:rPr>
        <w:t>老年人能力评估工作进行检查和指导。</w:t>
      </w:r>
    </w:p>
    <w:p w14:paraId="13CC475A">
      <w:pPr>
        <w:pStyle w:val="11"/>
        <w:keepNext w:val="0"/>
        <w:keepLines w:val="0"/>
        <w:pageBreakBefore w:val="0"/>
        <w:widowControl w:val="0"/>
        <w:numPr>
          <w:ilvl w:val="0"/>
          <w:numId w:val="0"/>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b w:val="0"/>
          <w:bCs/>
        </w:rPr>
      </w:pPr>
      <w:r>
        <w:rPr>
          <w:rFonts w:hint="eastAsia" w:ascii="仿宋_GB2312" w:hAnsi="仿宋_GB2312" w:eastAsia="仿宋_GB2312" w:cs="仿宋_GB2312"/>
          <w:b w:val="0"/>
          <w:bCs/>
          <w:lang w:val="en-US" w:eastAsia="zh-CN"/>
        </w:rPr>
        <w:t>县区</w:t>
      </w:r>
      <w:r>
        <w:rPr>
          <w:rFonts w:hint="eastAsia" w:ascii="仿宋_GB2312" w:hAnsi="仿宋_GB2312" w:eastAsia="仿宋_GB2312" w:cs="仿宋_GB2312"/>
          <w:b w:val="0"/>
          <w:bCs/>
        </w:rPr>
        <w:t>民政部门具体负责本辖区老年人能力评估的统筹协调、人员培训、政策宣传、组织实施及评估报告审核，投诉举报和异议处理等，具体评估工作可通过政府购买服务的方式委托相关专业机构或组织承接。</w:t>
      </w:r>
    </w:p>
    <w:p w14:paraId="7A9B7A55">
      <w:pPr>
        <w:pStyle w:val="11"/>
        <w:keepNext w:val="0"/>
        <w:keepLines w:val="0"/>
        <w:pageBreakBefore w:val="0"/>
        <w:widowControl w:val="0"/>
        <w:numPr>
          <w:ilvl w:val="0"/>
          <w:numId w:val="0"/>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b w:val="0"/>
          <w:bCs/>
        </w:rPr>
      </w:pPr>
      <w:r>
        <w:rPr>
          <w:rFonts w:hint="eastAsia" w:ascii="仿宋_GB2312" w:hAnsi="仿宋_GB2312" w:eastAsia="仿宋_GB2312" w:cs="仿宋_GB2312"/>
          <w:b w:val="0"/>
          <w:bCs/>
        </w:rPr>
        <w:t>市、</w:t>
      </w:r>
      <w:r>
        <w:rPr>
          <w:rFonts w:hint="eastAsia" w:ascii="仿宋_GB2312" w:hAnsi="仿宋_GB2312" w:eastAsia="仿宋_GB2312" w:cs="仿宋_GB2312"/>
          <w:b w:val="0"/>
          <w:bCs/>
          <w:lang w:val="en-US" w:eastAsia="zh-CN"/>
        </w:rPr>
        <w:t>县区</w:t>
      </w:r>
      <w:r>
        <w:rPr>
          <w:rFonts w:hint="eastAsia" w:ascii="仿宋_GB2312" w:hAnsi="仿宋_GB2312" w:eastAsia="仿宋_GB2312" w:cs="仿宋_GB2312"/>
          <w:b w:val="0"/>
          <w:bCs/>
        </w:rPr>
        <w:t>财政部门负责做好本级老年人能力评估工作的相关资金保障。</w:t>
      </w:r>
    </w:p>
    <w:p w14:paraId="49C35ECD">
      <w:pPr>
        <w:pStyle w:val="11"/>
        <w:keepNext w:val="0"/>
        <w:keepLines w:val="0"/>
        <w:pageBreakBefore w:val="0"/>
        <w:widowControl w:val="0"/>
        <w:numPr>
          <w:ilvl w:val="0"/>
          <w:numId w:val="0"/>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b w:val="0"/>
          <w:bCs/>
        </w:rPr>
      </w:pPr>
      <w:r>
        <w:rPr>
          <w:rFonts w:hint="eastAsia" w:ascii="仿宋_GB2312" w:hAnsi="仿宋_GB2312" w:eastAsia="仿宋_GB2312" w:cs="仿宋_GB2312"/>
          <w:b w:val="0"/>
          <w:bCs/>
        </w:rPr>
        <w:t>市、</w:t>
      </w:r>
      <w:r>
        <w:rPr>
          <w:rFonts w:hint="eastAsia" w:ascii="仿宋_GB2312" w:hAnsi="仿宋_GB2312" w:eastAsia="仿宋_GB2312" w:cs="仿宋_GB2312"/>
          <w:b w:val="0"/>
          <w:bCs/>
          <w:lang w:val="en-US" w:eastAsia="zh-CN"/>
        </w:rPr>
        <w:t>县区</w:t>
      </w:r>
      <w:r>
        <w:rPr>
          <w:rFonts w:hint="eastAsia" w:ascii="仿宋_GB2312" w:hAnsi="仿宋_GB2312" w:eastAsia="仿宋_GB2312" w:cs="仿宋_GB2312"/>
          <w:b w:val="0"/>
          <w:bCs/>
        </w:rPr>
        <w:t>民政部门与同级卫生健康等部门建立评估结果互认互通制度。</w:t>
      </w:r>
    </w:p>
    <w:p w14:paraId="7A6DF928">
      <w:pPr>
        <w:pStyle w:val="11"/>
        <w:keepNext w:val="0"/>
        <w:keepLines w:val="0"/>
        <w:pageBreakBefore w:val="0"/>
        <w:widowControl w:val="0"/>
        <w:numPr>
          <w:ilvl w:val="0"/>
          <w:numId w:val="0"/>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b w:val="0"/>
          <w:bCs/>
        </w:rPr>
      </w:pPr>
      <w:r>
        <w:rPr>
          <w:rFonts w:hint="eastAsia" w:ascii="仿宋_GB2312" w:hAnsi="仿宋_GB2312" w:eastAsia="仿宋_GB2312" w:cs="仿宋_GB2312"/>
          <w:b w:val="0"/>
          <w:bCs/>
        </w:rPr>
        <w:t>街道办事处和乡镇人民政府（以下简称“街道（乡镇）”）负责老年人能力评估的申请受理、信息核查等工作。</w:t>
      </w:r>
    </w:p>
    <w:p w14:paraId="539E0D10">
      <w:pPr>
        <w:pStyle w:val="11"/>
        <w:keepNext w:val="0"/>
        <w:keepLines w:val="0"/>
        <w:pageBreakBefore w:val="0"/>
        <w:widowControl w:val="0"/>
        <w:numPr>
          <w:ilvl w:val="0"/>
          <w:numId w:val="4"/>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可通过政府购买服务等方式，委托或指定具备资质的第三方专业机构（以下简称“评估机构”）具体实施。</w:t>
      </w:r>
    </w:p>
    <w:p w14:paraId="46938A0D">
      <w:pPr>
        <w:pStyle w:val="11"/>
        <w:keepNext w:val="0"/>
        <w:keepLines w:val="0"/>
        <w:pageBreakBefore w:val="0"/>
        <w:widowControl w:val="0"/>
        <w:numPr>
          <w:ilvl w:val="0"/>
          <w:numId w:val="4"/>
        </w:numPr>
        <w:kinsoku/>
        <w:wordWrap/>
        <w:overflowPunct/>
        <w:topLinePunct w:val="0"/>
        <w:autoSpaceDE/>
        <w:autoSpaceDN/>
        <w:bidi w:val="0"/>
        <w:adjustRightInd/>
        <w:snapToGrid/>
        <w:ind w:firstLine="616"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评估机构指依法设立、具有独立承担民事责任能力的企事业单位或社会组织，具有开展老年人能力评估工作所需的专业人员、评估场所、设施设备等。评估机构应具备以下条件：</w:t>
      </w:r>
    </w:p>
    <w:p w14:paraId="6CA2E58D">
      <w:pPr>
        <w:pStyle w:val="4"/>
        <w:keepNext w:val="0"/>
        <w:keepLines w:val="0"/>
        <w:pageBreakBefore w:val="0"/>
        <w:widowControl w:val="0"/>
        <w:numPr>
          <w:ilvl w:val="0"/>
          <w:numId w:val="5"/>
        </w:numPr>
        <w:kinsoku/>
        <w:wordWrap/>
        <w:overflowPunct/>
        <w:topLinePunct w:val="0"/>
        <w:autoSpaceDE/>
        <w:autoSpaceDN/>
        <w:bidi w:val="0"/>
        <w:adjustRightInd/>
        <w:snapToGrid/>
        <w:textAlignment w:val="auto"/>
      </w:pPr>
      <w:r>
        <w:t>依法登记注册的社会组织、企事业单位或医疗机构；</w:t>
      </w:r>
    </w:p>
    <w:p w14:paraId="4876FC8D">
      <w:pPr>
        <w:pStyle w:val="4"/>
        <w:keepNext w:val="0"/>
        <w:keepLines w:val="0"/>
        <w:pageBreakBefore w:val="0"/>
        <w:widowControl w:val="0"/>
        <w:numPr>
          <w:ilvl w:val="0"/>
          <w:numId w:val="5"/>
        </w:numPr>
        <w:kinsoku/>
        <w:wordWrap/>
        <w:overflowPunct/>
        <w:topLinePunct w:val="0"/>
        <w:autoSpaceDE/>
        <w:autoSpaceDN/>
        <w:bidi w:val="0"/>
        <w:adjustRightInd/>
        <w:snapToGrid/>
        <w:textAlignment w:val="auto"/>
      </w:pPr>
      <w:r>
        <w:rPr>
          <w:rFonts w:hint="eastAsia"/>
        </w:rPr>
        <w:t>业务范围包含评估、咨询、养老服务或健康管理等相关内容</w:t>
      </w:r>
      <w:r>
        <w:rPr>
          <w:rFonts w:hint="eastAsia"/>
          <w:lang w:eastAsia="zh-CN"/>
        </w:rPr>
        <w:t>；</w:t>
      </w:r>
    </w:p>
    <w:p w14:paraId="6727AA40">
      <w:pPr>
        <w:pStyle w:val="4"/>
        <w:keepNext w:val="0"/>
        <w:keepLines w:val="0"/>
        <w:pageBreakBefore w:val="0"/>
        <w:widowControl w:val="0"/>
        <w:numPr>
          <w:ilvl w:val="0"/>
          <w:numId w:val="5"/>
        </w:numPr>
        <w:kinsoku/>
        <w:wordWrap/>
        <w:overflowPunct/>
        <w:topLinePunct w:val="0"/>
        <w:autoSpaceDE/>
        <w:autoSpaceDN/>
        <w:bidi w:val="0"/>
        <w:adjustRightInd/>
        <w:snapToGrid/>
        <w:textAlignment w:val="auto"/>
      </w:pPr>
      <w:r>
        <w:rPr>
          <w:rFonts w:hint="eastAsia"/>
        </w:rPr>
        <w:t>获得民政部门的资格认证或委托</w:t>
      </w:r>
      <w:r>
        <w:rPr>
          <w:rFonts w:hint="eastAsia"/>
          <w:lang w:eastAsia="zh-CN"/>
        </w:rPr>
        <w:t>；</w:t>
      </w:r>
    </w:p>
    <w:p w14:paraId="3D76474F">
      <w:pPr>
        <w:pStyle w:val="4"/>
        <w:keepNext w:val="0"/>
        <w:keepLines w:val="0"/>
        <w:pageBreakBefore w:val="0"/>
        <w:widowControl w:val="0"/>
        <w:kinsoku/>
        <w:wordWrap/>
        <w:overflowPunct/>
        <w:topLinePunct w:val="0"/>
        <w:autoSpaceDE/>
        <w:autoSpaceDN/>
        <w:bidi w:val="0"/>
        <w:adjustRightInd/>
        <w:snapToGrid/>
        <w:textAlignment w:val="auto"/>
      </w:pPr>
      <w:r>
        <w:t>（</w:t>
      </w:r>
      <w:r>
        <w:rPr>
          <w:rFonts w:hint="eastAsia"/>
          <w:lang w:val="en-US" w:eastAsia="zh-CN"/>
        </w:rPr>
        <w:t>四</w:t>
      </w:r>
      <w:r>
        <w:t>）拥有固定的办公场所和必要的评估设施；</w:t>
      </w:r>
    </w:p>
    <w:p w14:paraId="2F2B504C">
      <w:pPr>
        <w:pStyle w:val="4"/>
        <w:keepNext w:val="0"/>
        <w:keepLines w:val="0"/>
        <w:pageBreakBefore w:val="0"/>
        <w:widowControl w:val="0"/>
        <w:kinsoku/>
        <w:wordWrap/>
        <w:overflowPunct/>
        <w:topLinePunct w:val="0"/>
        <w:autoSpaceDE/>
        <w:autoSpaceDN/>
        <w:bidi w:val="0"/>
        <w:adjustRightInd/>
        <w:snapToGrid/>
        <w:textAlignment w:val="auto"/>
        <w:rPr>
          <w:rFonts w:hint="eastAsia" w:eastAsia="仿宋_GB2312"/>
          <w:lang w:eastAsia="zh-CN"/>
        </w:rPr>
      </w:pPr>
      <w:r>
        <w:t>（</w:t>
      </w:r>
      <w:r>
        <w:rPr>
          <w:rFonts w:hint="eastAsia"/>
          <w:lang w:val="en-US" w:eastAsia="zh-CN"/>
        </w:rPr>
        <w:t>五</w:t>
      </w:r>
      <w:r>
        <w:t>）</w:t>
      </w:r>
      <w:r>
        <w:rPr>
          <w:rFonts w:hint="eastAsia"/>
        </w:rPr>
        <w:t>配备不少于</w:t>
      </w:r>
      <w:r>
        <w:rPr>
          <w:rFonts w:hint="eastAsia"/>
          <w:lang w:val="en-US" w:eastAsia="zh-CN"/>
        </w:rPr>
        <w:t>3</w:t>
      </w:r>
      <w:r>
        <w:rPr>
          <w:rFonts w:hint="eastAsia"/>
        </w:rPr>
        <w:t>名专职老年人能力评估师，所有评估师均需经专业培训合格，并按规定缴纳养老保险</w:t>
      </w:r>
      <w:r>
        <w:rPr>
          <w:rFonts w:hint="eastAsia"/>
          <w:lang w:eastAsia="zh-CN"/>
        </w:rPr>
        <w:t>；</w:t>
      </w:r>
    </w:p>
    <w:p w14:paraId="42025397">
      <w:pPr>
        <w:pStyle w:val="4"/>
        <w:keepNext w:val="0"/>
        <w:keepLines w:val="0"/>
        <w:pageBreakBefore w:val="0"/>
        <w:widowControl w:val="0"/>
        <w:kinsoku/>
        <w:wordWrap/>
        <w:overflowPunct/>
        <w:topLinePunct w:val="0"/>
        <w:autoSpaceDE/>
        <w:autoSpaceDN/>
        <w:bidi w:val="0"/>
        <w:adjustRightInd/>
        <w:snapToGrid/>
        <w:textAlignment w:val="auto"/>
        <w:rPr>
          <w:rFonts w:hint="eastAsia" w:eastAsia="仿宋_GB2312"/>
          <w:lang w:eastAsia="zh-CN"/>
        </w:rPr>
      </w:pPr>
      <w:r>
        <w:t>（</w:t>
      </w:r>
      <w:r>
        <w:rPr>
          <w:rFonts w:hint="eastAsia"/>
          <w:lang w:val="en-US" w:eastAsia="zh-CN"/>
        </w:rPr>
        <w:t>六</w:t>
      </w:r>
      <w:r>
        <w:t>）具有健全的内部治理结构和评估工作管理制度</w:t>
      </w:r>
      <w:r>
        <w:rPr>
          <w:rFonts w:hint="eastAsia"/>
          <w:lang w:eastAsia="zh-CN"/>
        </w:rPr>
        <w:t>；</w:t>
      </w:r>
    </w:p>
    <w:p w14:paraId="45D7CAB4">
      <w:pPr>
        <w:pStyle w:val="4"/>
        <w:keepNext w:val="0"/>
        <w:keepLines w:val="0"/>
        <w:pageBreakBefore w:val="0"/>
        <w:widowControl w:val="0"/>
        <w:kinsoku/>
        <w:wordWrap/>
        <w:overflowPunct/>
        <w:topLinePunct w:val="0"/>
        <w:autoSpaceDE/>
        <w:autoSpaceDN/>
        <w:bidi w:val="0"/>
        <w:adjustRightInd/>
        <w:snapToGrid/>
        <w:textAlignment w:val="auto"/>
        <w:rPr>
          <w:rFonts w:hint="eastAsia"/>
        </w:rPr>
      </w:pPr>
      <w:r>
        <w:rPr>
          <w:rFonts w:hint="eastAsia"/>
          <w:lang w:eastAsia="zh-CN"/>
        </w:rPr>
        <w:t>（</w:t>
      </w:r>
      <w:r>
        <w:rPr>
          <w:rFonts w:hint="eastAsia"/>
          <w:lang w:val="en-US" w:eastAsia="zh-CN"/>
        </w:rPr>
        <w:t>七）</w:t>
      </w:r>
      <w:r>
        <w:rPr>
          <w:rFonts w:hint="eastAsia"/>
        </w:rPr>
        <w:t>评估机构不得同时承担依本机构评估结论而开展养老服务工作。</w:t>
      </w:r>
    </w:p>
    <w:p w14:paraId="09B06238">
      <w:pPr>
        <w:pStyle w:val="2"/>
        <w:keepNext w:val="0"/>
        <w:keepLines w:val="0"/>
        <w:pageBreakBefore w:val="0"/>
        <w:widowControl w:val="0"/>
        <w:kinsoku/>
        <w:wordWrap/>
        <w:overflowPunct/>
        <w:topLinePunct w:val="0"/>
        <w:autoSpaceDE/>
        <w:autoSpaceDN/>
        <w:bidi w:val="0"/>
        <w:adjustRightInd/>
        <w:snapToGrid/>
        <w:textAlignment w:val="auto"/>
      </w:pPr>
      <w:r>
        <w:t>第九条 评估人员：</w:t>
      </w:r>
    </w:p>
    <w:p w14:paraId="384E0915">
      <w:pPr>
        <w:pStyle w:val="4"/>
        <w:keepNext w:val="0"/>
        <w:keepLines w:val="0"/>
        <w:pageBreakBefore w:val="0"/>
        <w:widowControl w:val="0"/>
        <w:kinsoku/>
        <w:wordWrap/>
        <w:overflowPunct/>
        <w:topLinePunct w:val="0"/>
        <w:autoSpaceDE/>
        <w:autoSpaceDN/>
        <w:bidi w:val="0"/>
        <w:adjustRightInd/>
        <w:snapToGrid/>
        <w:textAlignment w:val="auto"/>
      </w:pPr>
      <w:r>
        <w:t>直接从事评估工作的人员（评估师）应满足以下条件：</w:t>
      </w:r>
    </w:p>
    <w:p w14:paraId="0B2D2AED">
      <w:pPr>
        <w:pStyle w:val="4"/>
        <w:keepNext w:val="0"/>
        <w:keepLines w:val="0"/>
        <w:pageBreakBefore w:val="0"/>
        <w:widowControl w:val="0"/>
        <w:numPr>
          <w:ilvl w:val="0"/>
          <w:numId w:val="6"/>
        </w:numPr>
        <w:kinsoku/>
        <w:wordWrap/>
        <w:overflowPunct/>
        <w:topLinePunct w:val="0"/>
        <w:autoSpaceDE/>
        <w:autoSpaceDN/>
        <w:bidi w:val="0"/>
        <w:adjustRightInd/>
        <w:snapToGrid/>
        <w:ind w:left="0" w:leftChars="0" w:firstLine="616" w:firstLineChars="0"/>
        <w:textAlignment w:val="auto"/>
        <w:rPr>
          <w:b w:val="0"/>
        </w:rPr>
      </w:pPr>
      <w:r>
        <w:t>遵守国家法律法规，具有良好的职业道德和职业操守；</w:t>
      </w:r>
    </w:p>
    <w:p w14:paraId="5FEB8EBB">
      <w:pPr>
        <w:pStyle w:val="4"/>
        <w:keepNext w:val="0"/>
        <w:keepLines w:val="0"/>
        <w:pageBreakBefore w:val="0"/>
        <w:widowControl w:val="0"/>
        <w:numPr>
          <w:ilvl w:val="0"/>
          <w:numId w:val="6"/>
        </w:numPr>
        <w:kinsoku/>
        <w:wordWrap/>
        <w:overflowPunct/>
        <w:topLinePunct w:val="0"/>
        <w:autoSpaceDE/>
        <w:autoSpaceDN/>
        <w:bidi w:val="0"/>
        <w:adjustRightInd/>
        <w:snapToGrid/>
        <w:ind w:left="0" w:leftChars="0" w:firstLine="616" w:firstLineChars="0"/>
        <w:textAlignment w:val="auto"/>
        <w:rPr>
          <w:b w:val="0"/>
        </w:rPr>
      </w:pPr>
      <w:r>
        <w:t>具有医学、护理学、康复学、心理学、社会工作等专业背景或一年以上相关从业经验；</w:t>
      </w:r>
    </w:p>
    <w:p w14:paraId="158791B1">
      <w:pPr>
        <w:pStyle w:val="4"/>
        <w:keepNext w:val="0"/>
        <w:keepLines w:val="0"/>
        <w:pageBreakBefore w:val="0"/>
        <w:widowControl w:val="0"/>
        <w:numPr>
          <w:ilvl w:val="0"/>
          <w:numId w:val="6"/>
        </w:numPr>
        <w:kinsoku/>
        <w:wordWrap/>
        <w:overflowPunct/>
        <w:topLinePunct w:val="0"/>
        <w:autoSpaceDE/>
        <w:autoSpaceDN/>
        <w:bidi w:val="0"/>
        <w:adjustRightInd/>
        <w:snapToGrid/>
        <w:ind w:left="0" w:leftChars="0" w:firstLine="616" w:firstLineChars="0"/>
        <w:textAlignment w:val="auto"/>
        <w:rPr>
          <w:b w:val="0"/>
        </w:rPr>
      </w:pPr>
      <w:r>
        <w:rPr>
          <w:rFonts w:hint="eastAsia"/>
        </w:rPr>
        <w:t>持有老年人能力评估师职业技能等级证书或经民政部组织的老年人能力评估师培训考核合格，能够运用评估工具及方法，具体实施老年人能力评估工作</w:t>
      </w:r>
      <w:r>
        <w:t>；</w:t>
      </w:r>
    </w:p>
    <w:p w14:paraId="0EAF2631">
      <w:pPr>
        <w:pStyle w:val="4"/>
        <w:keepNext w:val="0"/>
        <w:keepLines w:val="0"/>
        <w:pageBreakBefore w:val="0"/>
        <w:widowControl w:val="0"/>
        <w:numPr>
          <w:ilvl w:val="0"/>
          <w:numId w:val="6"/>
        </w:numPr>
        <w:kinsoku/>
        <w:wordWrap/>
        <w:overflowPunct/>
        <w:topLinePunct w:val="0"/>
        <w:autoSpaceDE/>
        <w:autoSpaceDN/>
        <w:bidi w:val="0"/>
        <w:adjustRightInd/>
        <w:snapToGrid/>
        <w:ind w:left="0" w:leftChars="0" w:firstLine="616" w:firstLineChars="0"/>
        <w:textAlignment w:val="auto"/>
        <w:rPr>
          <w:b w:val="0"/>
        </w:rPr>
      </w:pPr>
      <w:r>
        <w:t>与评估对象无直接利害关系。</w:t>
      </w:r>
    </w:p>
    <w:p w14:paraId="6330302C">
      <w:pPr>
        <w:pStyle w:val="4"/>
        <w:keepNext w:val="0"/>
        <w:keepLines w:val="0"/>
        <w:pageBreakBefore w:val="0"/>
        <w:widowControl w:val="0"/>
        <w:numPr>
          <w:ilvl w:val="0"/>
          <w:numId w:val="6"/>
        </w:numPr>
        <w:kinsoku/>
        <w:wordWrap/>
        <w:overflowPunct/>
        <w:topLinePunct w:val="0"/>
        <w:autoSpaceDE/>
        <w:autoSpaceDN/>
        <w:bidi w:val="0"/>
        <w:adjustRightInd/>
        <w:snapToGrid/>
        <w:ind w:left="0" w:leftChars="0" w:firstLine="616" w:firstLineChars="0"/>
        <w:textAlignment w:val="auto"/>
        <w:rPr>
          <w:b w:val="0"/>
        </w:rPr>
      </w:pPr>
      <w:r>
        <w:rPr>
          <w:rFonts w:hint="eastAsia"/>
          <w:b w:val="0"/>
        </w:rPr>
        <w:t>评估人员实行持证上岗、亮证评估，评估人员对老年人能力评估结果负专业技术责任。</w:t>
      </w:r>
    </w:p>
    <w:p w14:paraId="083F1EA4">
      <w:pPr>
        <w:pStyle w:val="11"/>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pPr>
      <w:r>
        <w:t>第</w:t>
      </w:r>
      <w:r>
        <w:rPr>
          <w:rFonts w:hint="eastAsia"/>
          <w:lang w:val="en-US" w:eastAsia="zh-CN"/>
        </w:rPr>
        <w:t>四</w:t>
      </w:r>
      <w:r>
        <w:t>章 评估程序</w:t>
      </w:r>
    </w:p>
    <w:p w14:paraId="577AB20E">
      <w:pPr>
        <w:pStyle w:val="2"/>
        <w:keepNext w:val="0"/>
        <w:keepLines w:val="0"/>
        <w:pageBreakBefore w:val="0"/>
        <w:widowControl w:val="0"/>
        <w:numPr>
          <w:ilvl w:val="0"/>
          <w:numId w:val="7"/>
        </w:numPr>
        <w:kinsoku/>
        <w:wordWrap/>
        <w:overflowPunct/>
        <w:topLinePunct w:val="0"/>
        <w:autoSpaceDE/>
        <w:autoSpaceDN/>
        <w:bidi w:val="0"/>
        <w:adjustRightInd/>
        <w:snapToGrid/>
        <w:ind w:left="0" w:leftChars="0" w:firstLine="640" w:firstLineChars="0"/>
        <w:textAlignment w:val="auto"/>
        <w:rPr>
          <w:b w:val="0"/>
        </w:rPr>
      </w:pPr>
      <w:r>
        <w:t>申请与受理：</w:t>
      </w:r>
    </w:p>
    <w:p w14:paraId="340066FD">
      <w:pPr>
        <w:pStyle w:val="4"/>
        <w:keepNext w:val="0"/>
        <w:keepLines w:val="0"/>
        <w:pageBreakBefore w:val="0"/>
        <w:widowControl w:val="0"/>
        <w:kinsoku/>
        <w:wordWrap/>
        <w:overflowPunct/>
        <w:topLinePunct w:val="0"/>
        <w:autoSpaceDE/>
        <w:autoSpaceDN/>
        <w:bidi w:val="0"/>
        <w:adjustRightInd/>
        <w:snapToGrid/>
        <w:textAlignment w:val="auto"/>
        <w:rPr>
          <w:rFonts w:hint="default"/>
          <w:color w:val="000000" w:themeColor="text1"/>
          <w14:textFill>
            <w14:solidFill>
              <w14:schemeClr w14:val="tx1"/>
            </w14:solidFill>
          </w14:textFill>
        </w:rPr>
      </w:pPr>
      <w:r>
        <w:rPr>
          <w:rFonts w:hint="default"/>
        </w:rPr>
        <w:t>申请相关政府政策待遇的老年人</w:t>
      </w:r>
      <w:r>
        <w:rPr>
          <w:rFonts w:hint="eastAsia"/>
        </w:rPr>
        <w:t>，由本人或其代理人向户籍所在地</w:t>
      </w:r>
      <w:r>
        <w:rPr>
          <w:rFonts w:hint="eastAsia"/>
          <w:color w:val="000000" w:themeColor="text1"/>
          <w14:textFill>
            <w14:solidFill>
              <w14:schemeClr w14:val="tx1"/>
            </w14:solidFill>
          </w14:textFill>
        </w:rPr>
        <w:t>街道（乡镇）</w:t>
      </w:r>
      <w:r>
        <w:rPr>
          <w:rFonts w:hint="default"/>
          <w:color w:val="000000" w:themeColor="text1"/>
          <w14:textFill>
            <w14:solidFill>
              <w14:schemeClr w14:val="tx1"/>
            </w14:solidFill>
          </w14:textFill>
        </w:rPr>
        <w:t>提出申请。</w:t>
      </w:r>
    </w:p>
    <w:p w14:paraId="6154E72B">
      <w:pPr>
        <w:pStyle w:val="4"/>
        <w:keepNext w:val="0"/>
        <w:keepLines w:val="0"/>
        <w:pageBreakBefore w:val="0"/>
        <w:widowControl w:val="0"/>
        <w:kinsoku/>
        <w:wordWrap/>
        <w:overflowPunct/>
        <w:topLinePunct w:val="0"/>
        <w:autoSpaceDE/>
        <w:autoSpaceDN/>
        <w:bidi w:val="0"/>
        <w:adjustRightInd/>
        <w:snapToGrid/>
        <w:textAlignment w:val="auto"/>
        <w:rPr>
          <w:rFonts w:hint="eastAsia"/>
        </w:rPr>
      </w:pPr>
      <w:r>
        <w:rPr>
          <w:rFonts w:hint="default"/>
          <w:color w:val="000000" w:themeColor="text1"/>
          <w14:textFill>
            <w14:solidFill>
              <w14:schemeClr w14:val="tx1"/>
            </w14:solidFill>
          </w14:textFill>
        </w:rPr>
        <w:t>其他</w:t>
      </w:r>
      <w:r>
        <w:rPr>
          <w:rFonts w:hint="eastAsia"/>
          <w:color w:val="000000" w:themeColor="text1"/>
          <w14:textFill>
            <w14:solidFill>
              <w14:schemeClr w14:val="tx1"/>
            </w14:solidFill>
          </w14:textFill>
        </w:rPr>
        <w:t>有评估需求的老年人，</w:t>
      </w:r>
      <w:r>
        <w:rPr>
          <w:rFonts w:hint="eastAsia"/>
        </w:rPr>
        <w:t>由本人或其代理人直接向评估机构提出申请，评估机构</w:t>
      </w:r>
      <w:r>
        <w:rPr>
          <w:rFonts w:hint="default"/>
        </w:rPr>
        <w:t>按标准</w:t>
      </w:r>
      <w:r>
        <w:rPr>
          <w:rFonts w:hint="eastAsia"/>
        </w:rPr>
        <w:t>实施评估</w:t>
      </w:r>
      <w:r>
        <w:rPr>
          <w:rFonts w:hint="default"/>
        </w:rPr>
        <w:t>，出具评估报告</w:t>
      </w:r>
      <w:r>
        <w:rPr>
          <w:rFonts w:hint="eastAsia"/>
        </w:rPr>
        <w:t>。</w:t>
      </w:r>
    </w:p>
    <w:p w14:paraId="2C9B26B1">
      <w:pPr>
        <w:pStyle w:val="4"/>
        <w:keepNext w:val="0"/>
        <w:keepLines w:val="0"/>
        <w:pageBreakBefore w:val="0"/>
        <w:widowControl w:val="0"/>
        <w:kinsoku/>
        <w:wordWrap/>
        <w:overflowPunct/>
        <w:topLinePunct w:val="0"/>
        <w:autoSpaceDE/>
        <w:autoSpaceDN/>
        <w:bidi w:val="0"/>
        <w:adjustRightInd/>
        <w:snapToGrid/>
        <w:textAlignment w:val="auto"/>
        <w:rPr>
          <w:rFonts w:hint="eastAsia"/>
        </w:rPr>
      </w:pPr>
      <w:r>
        <w:rPr>
          <w:rFonts w:hint="eastAsia" w:ascii="黑体" w:hAnsi="黑体" w:eastAsia="黑体" w:cs="黑体"/>
          <w:b w:val="0"/>
          <w:bCs/>
          <w:lang w:val="en-US" w:eastAsia="zh-CN"/>
        </w:rPr>
        <w:t xml:space="preserve">第十一条 </w:t>
      </w:r>
      <w:r>
        <w:rPr>
          <w:rFonts w:hint="eastAsia"/>
        </w:rPr>
        <w:t>评估工作自受理申请之日起，应在</w:t>
      </w:r>
      <w:r>
        <w:rPr>
          <w:rFonts w:hint="default"/>
        </w:rPr>
        <w:t>30</w:t>
      </w:r>
      <w:r>
        <w:rPr>
          <w:rFonts w:hint="eastAsia"/>
        </w:rPr>
        <w:t>个工作日内完成。街道（乡镇）负责接收老年人个人评估申请，并及时提交</w:t>
      </w:r>
      <w:r>
        <w:rPr>
          <w:rFonts w:hint="eastAsia"/>
          <w:lang w:val="en-US" w:eastAsia="zh-CN"/>
        </w:rPr>
        <w:t>评估名单</w:t>
      </w:r>
      <w:r>
        <w:rPr>
          <w:rFonts w:hint="eastAsia"/>
        </w:rPr>
        <w:t>至县级民政部门审核。由</w:t>
      </w:r>
      <w:r>
        <w:rPr>
          <w:rFonts w:hint="default"/>
        </w:rPr>
        <w:t>县级</w:t>
      </w:r>
      <w:r>
        <w:rPr>
          <w:rFonts w:hint="eastAsia"/>
        </w:rPr>
        <w:t>民政</w:t>
      </w:r>
      <w:r>
        <w:rPr>
          <w:rFonts w:hint="default"/>
        </w:rPr>
        <w:t>部门</w:t>
      </w:r>
      <w:r>
        <w:rPr>
          <w:rFonts w:hint="eastAsia"/>
          <w:lang w:val="en-US" w:eastAsia="zh-CN"/>
        </w:rPr>
        <w:t>委托第三方评估机构开展评估</w:t>
      </w:r>
      <w:r>
        <w:rPr>
          <w:rFonts w:hint="eastAsia"/>
        </w:rPr>
        <w:t>。</w:t>
      </w:r>
    </w:p>
    <w:p w14:paraId="7AF087CD">
      <w:pPr>
        <w:pStyle w:val="2"/>
        <w:keepNext w:val="0"/>
        <w:keepLines w:val="0"/>
        <w:pageBreakBefore w:val="0"/>
        <w:widowControl w:val="0"/>
        <w:numPr>
          <w:ilvl w:val="0"/>
          <w:numId w:val="0"/>
        </w:numPr>
        <w:kinsoku/>
        <w:wordWrap/>
        <w:overflowPunct/>
        <w:topLinePunct w:val="0"/>
        <w:autoSpaceDE/>
        <w:autoSpaceDN/>
        <w:bidi w:val="0"/>
        <w:adjustRightInd/>
        <w:snapToGrid/>
        <w:ind w:left="640" w:leftChars="0"/>
        <w:textAlignment w:val="auto"/>
        <w:rPr>
          <w:b w:val="0"/>
        </w:rPr>
      </w:pPr>
      <w:r>
        <w:rPr>
          <w:rFonts w:hint="eastAsia"/>
          <w:lang w:val="en-US" w:eastAsia="zh-CN"/>
        </w:rPr>
        <w:t xml:space="preserve">第十二条 </w:t>
      </w:r>
      <w:r>
        <w:t>组织实施评估：</w:t>
      </w:r>
    </w:p>
    <w:p w14:paraId="74E3C30E">
      <w:pPr>
        <w:pStyle w:val="4"/>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spacing wpsCustomData:val="-6" w:val="-3"/>
          <w:lang w:val="en-US" w:eastAsia="zh-CN"/>
        </w:rPr>
        <w:t>现场评估人员不少</w:t>
      </w:r>
      <w:r>
        <w:rPr>
          <w:rFonts w:hint="eastAsia"/>
          <w:spacing wpsCustomData:val="-6" w:val="-2"/>
          <w:lang w:val="en-US" w:eastAsia="zh-CN"/>
        </w:rPr>
        <w:t>于</w:t>
      </w:r>
      <w:r>
        <w:rPr>
          <w:rFonts w:hint="eastAsia"/>
          <w:spacing wpsCustomData:val="-6" w:val="-42"/>
          <w:lang w:val="en-US" w:eastAsia="zh-CN"/>
        </w:rPr>
        <w:t>1</w:t>
      </w:r>
      <w:r>
        <w:rPr>
          <w:rFonts w:hint="eastAsia"/>
          <w:spacing wpsCustomData:val="-6" w:val="-3"/>
          <w:lang w:val="en-US" w:eastAsia="zh-CN"/>
        </w:rPr>
        <w:t>名老年人能力评估师和</w:t>
      </w:r>
      <w:r>
        <w:rPr>
          <w:rFonts w:hint="eastAsia"/>
          <w:spacing wpsCustomData:val="-6" w:val="-42"/>
          <w:lang w:val="en-US" w:eastAsia="zh-CN"/>
        </w:rPr>
        <w:t>1</w:t>
      </w:r>
      <w:r>
        <w:rPr>
          <w:rFonts w:hint="eastAsia"/>
          <w:spacing wpsCustomData:val="-6" w:val="-3"/>
          <w:lang w:val="en-US" w:eastAsia="zh-CN"/>
        </w:rPr>
        <w:t>名老年人能力</w:t>
      </w:r>
      <w:r>
        <w:rPr>
          <w:rFonts w:hint="eastAsia"/>
          <w:spacing wpsCustomData:val="-6" w:val="-6"/>
          <w:lang w:val="en-US" w:eastAsia="zh-CN"/>
        </w:rPr>
        <w:t>评</w:t>
      </w:r>
      <w:r>
        <w:rPr>
          <w:rFonts w:hint="eastAsia"/>
          <w:lang w:val="en-US" w:eastAsia="zh-CN"/>
        </w:rPr>
        <w:t>估员。评估时，老年人身体发生不适，或者精神出现问题，应终止评估。</w:t>
      </w:r>
    </w:p>
    <w:p w14:paraId="688CA487">
      <w:pPr>
        <w:pStyle w:val="4"/>
        <w:keepNext w:val="0"/>
        <w:keepLines w:val="0"/>
        <w:pageBreakBefore w:val="0"/>
        <w:widowControl w:val="0"/>
        <w:kinsoku/>
        <w:wordWrap/>
        <w:overflowPunct/>
        <w:topLinePunct w:val="0"/>
        <w:autoSpaceDE/>
        <w:autoSpaceDN/>
        <w:bidi w:val="0"/>
        <w:adjustRightInd/>
        <w:snapToGrid/>
        <w:textAlignment w:val="auto"/>
      </w:pPr>
      <w:r>
        <w:rPr>
          <w:rStyle w:val="12"/>
        </w:rPr>
        <w:t>（一）环境准备</w:t>
      </w:r>
      <w:r>
        <w:t>：评估应在安静、私密、安全的环境中进行，可选择在评估站点、养老机构或老年人家中。</w:t>
      </w:r>
    </w:p>
    <w:p w14:paraId="2790B4B7">
      <w:pPr>
        <w:pStyle w:val="4"/>
        <w:keepNext w:val="0"/>
        <w:keepLines w:val="0"/>
        <w:pageBreakBefore w:val="0"/>
        <w:widowControl w:val="0"/>
        <w:kinsoku/>
        <w:wordWrap/>
        <w:overflowPunct/>
        <w:topLinePunct w:val="0"/>
        <w:autoSpaceDE/>
        <w:autoSpaceDN/>
        <w:bidi w:val="0"/>
        <w:adjustRightInd/>
        <w:snapToGrid/>
        <w:textAlignment w:val="auto"/>
      </w:pPr>
      <w:r>
        <w:rPr>
          <w:rStyle w:val="12"/>
        </w:rPr>
        <w:t>（二）现场评估</w:t>
      </w:r>
      <w:r>
        <w:t>：评估人员通过询问、观察和实际操作测试等方式，逐项进行评估填写《老年人能力评估表》</w:t>
      </w:r>
      <w:r>
        <w:rPr>
          <w:rFonts w:hint="eastAsia"/>
          <w:lang w:eastAsia="zh-CN"/>
        </w:rPr>
        <w:t>，</w:t>
      </w:r>
      <w:r>
        <w:rPr>
          <w:rFonts w:hint="eastAsia"/>
          <w:lang w:val="en-US" w:eastAsia="zh-CN"/>
        </w:rPr>
        <w:t>并录入老年人能力评估系统</w:t>
      </w:r>
      <w:r>
        <w:t>。评估时应有至少一名评估对象家属或监护人在场。</w:t>
      </w:r>
    </w:p>
    <w:p w14:paraId="20B24759">
      <w:pPr>
        <w:pStyle w:val="4"/>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r>
        <w:rPr>
          <w:rStyle w:val="12"/>
        </w:rPr>
        <w:t>（三）信息复核</w:t>
      </w:r>
      <w:r>
        <w:t>：评估人员可通过查阅病历、询问监护人、社区工作人员等方式，对评估信息进行交叉复核。</w:t>
      </w:r>
    </w:p>
    <w:p w14:paraId="344B012B">
      <w:pPr>
        <w:pStyle w:val="2"/>
        <w:keepNext w:val="0"/>
        <w:keepLines w:val="0"/>
        <w:pageBreakBefore w:val="0"/>
        <w:widowControl w:val="0"/>
        <w:numPr>
          <w:ilvl w:val="0"/>
          <w:numId w:val="0"/>
        </w:numPr>
        <w:kinsoku/>
        <w:wordWrap/>
        <w:overflowPunct/>
        <w:topLinePunct w:val="0"/>
        <w:autoSpaceDE/>
        <w:autoSpaceDN/>
        <w:bidi w:val="0"/>
        <w:adjustRightInd/>
        <w:snapToGrid/>
        <w:ind w:left="640" w:leftChars="0"/>
        <w:textAlignment w:val="auto"/>
        <w:rPr>
          <w:b w:val="0"/>
        </w:rPr>
      </w:pPr>
      <w:r>
        <w:rPr>
          <w:rFonts w:hint="eastAsia"/>
          <w:lang w:val="en-US" w:eastAsia="zh-CN"/>
        </w:rPr>
        <w:t xml:space="preserve">第十三条 </w:t>
      </w:r>
      <w:r>
        <w:t>结果确认与公示：</w:t>
      </w:r>
    </w:p>
    <w:p w14:paraId="5F91C558">
      <w:pPr>
        <w:pStyle w:val="4"/>
        <w:keepNext w:val="0"/>
        <w:keepLines w:val="0"/>
        <w:pageBreakBefore w:val="0"/>
        <w:widowControl w:val="0"/>
        <w:kinsoku/>
        <w:wordWrap/>
        <w:overflowPunct/>
        <w:topLinePunct w:val="0"/>
        <w:autoSpaceDE/>
        <w:autoSpaceDN/>
        <w:bidi w:val="0"/>
        <w:adjustRightInd/>
        <w:snapToGrid/>
        <w:textAlignment w:val="auto"/>
      </w:pPr>
      <w:r>
        <w:t>（一）评估机构根据评估表得分，对照国家标准初步确定能力等级，形成评估报告。</w:t>
      </w:r>
    </w:p>
    <w:p w14:paraId="5224B1D5">
      <w:pPr>
        <w:pStyle w:val="4"/>
        <w:keepNext w:val="0"/>
        <w:keepLines w:val="0"/>
        <w:pageBreakBefore w:val="0"/>
        <w:widowControl w:val="0"/>
        <w:kinsoku/>
        <w:wordWrap/>
        <w:overflowPunct/>
        <w:topLinePunct w:val="0"/>
        <w:autoSpaceDE/>
        <w:autoSpaceDN/>
        <w:bidi w:val="0"/>
        <w:adjustRightInd/>
        <w:snapToGrid/>
        <w:textAlignment w:val="auto"/>
        <w:rPr>
          <w:rFonts w:hint="eastAsia"/>
        </w:rPr>
      </w:pPr>
      <w:r>
        <w:t>（二）</w:t>
      </w:r>
      <w:r>
        <w:rPr>
          <w:rFonts w:hint="eastAsia"/>
        </w:rPr>
        <w:t>评估机构应在评估结束后</w:t>
      </w:r>
      <w:r>
        <w:rPr>
          <w:rFonts w:hint="eastAsia"/>
          <w:lang w:val="en-US" w:eastAsia="zh-CN"/>
        </w:rPr>
        <w:t>5</w:t>
      </w:r>
      <w:r>
        <w:rPr>
          <w:rFonts w:hint="eastAsia"/>
        </w:rPr>
        <w:t>个工作日内出具评估报告，并送达申请人或其代理人。对评估结果无异议的，由申请人或其代理人签字确认。</w:t>
      </w:r>
      <w:r>
        <w:rPr>
          <w:rFonts w:hint="eastAsia"/>
          <w:lang w:val="en-US" w:eastAsia="zh-CN"/>
        </w:rPr>
        <w:t>评估结果报县级民政部门，转至街道（乡镇）。</w:t>
      </w:r>
    </w:p>
    <w:p w14:paraId="36FD7CEA">
      <w:pPr>
        <w:pStyle w:val="4"/>
        <w:keepNext w:val="0"/>
        <w:keepLines w:val="0"/>
        <w:pageBreakBefore w:val="0"/>
        <w:widowControl w:val="0"/>
        <w:kinsoku/>
        <w:wordWrap/>
        <w:overflowPunct/>
        <w:topLinePunct w:val="0"/>
        <w:autoSpaceDE/>
        <w:autoSpaceDN/>
        <w:bidi w:val="0"/>
        <w:adjustRightInd/>
        <w:snapToGrid/>
        <w:textAlignment w:val="auto"/>
        <w:rPr>
          <w:rFonts w:hint="eastAsia"/>
        </w:rPr>
      </w:pPr>
      <w:r>
        <w:t>（三）</w:t>
      </w:r>
      <w:r>
        <w:rPr>
          <w:rFonts w:hint="eastAsia"/>
          <w:lang w:val="en-US" w:eastAsia="zh-CN"/>
        </w:rPr>
        <w:t>县区民政部门</w:t>
      </w:r>
      <w:r>
        <w:rPr>
          <w:rFonts w:hint="eastAsia"/>
        </w:rPr>
        <w:t>根据评估机构出具的评估结果，</w:t>
      </w:r>
      <w:r>
        <w:rPr>
          <w:rFonts w:hint="eastAsia"/>
          <w:lang w:val="en-US" w:eastAsia="zh-CN"/>
        </w:rPr>
        <w:t>在局机关网站上进行公示</w:t>
      </w:r>
      <w:r>
        <w:rPr>
          <w:rFonts w:hint="eastAsia"/>
        </w:rPr>
        <w:t>，公示期为5个工作日。公示应当保护评估对象的个人隐私，不得公开与评估无关的信息。</w:t>
      </w:r>
    </w:p>
    <w:p w14:paraId="3D92DEA1">
      <w:pPr>
        <w:pStyle w:val="2"/>
        <w:keepNext w:val="0"/>
        <w:keepLines w:val="0"/>
        <w:pageBreakBefore w:val="0"/>
        <w:widowControl w:val="0"/>
        <w:numPr>
          <w:ilvl w:val="0"/>
          <w:numId w:val="0"/>
        </w:numPr>
        <w:kinsoku/>
        <w:wordWrap/>
        <w:overflowPunct/>
        <w:topLinePunct w:val="0"/>
        <w:autoSpaceDE/>
        <w:autoSpaceDN/>
        <w:bidi w:val="0"/>
        <w:adjustRightInd/>
        <w:snapToGrid/>
        <w:ind w:left="640" w:leftChars="0"/>
        <w:textAlignment w:val="auto"/>
        <w:rPr>
          <w:b w:val="0"/>
        </w:rPr>
      </w:pPr>
      <w:r>
        <w:rPr>
          <w:rFonts w:hint="eastAsia"/>
          <w:lang w:val="en-US" w:eastAsia="zh-CN"/>
        </w:rPr>
        <w:t xml:space="preserve">第十四条 </w:t>
      </w:r>
      <w:r>
        <w:t>复核与申诉：</w:t>
      </w:r>
    </w:p>
    <w:p w14:paraId="56ED2DB8">
      <w:pPr>
        <w:keepNext w:val="0"/>
        <w:keepLines w:val="0"/>
        <w:pageBreakBefore w:val="0"/>
        <w:widowControl w:val="0"/>
        <w:kinsoku/>
        <w:wordWrap/>
        <w:overflowPunct/>
        <w:topLinePunct w:val="0"/>
        <w:autoSpaceDE/>
        <w:autoSpaceDN/>
        <w:bidi w:val="0"/>
        <w:adjustRightInd/>
        <w:snapToGrid/>
        <w:spacing w:line="579" w:lineRule="exact"/>
        <w:ind w:right="0" w:righ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老年人或其家属对评估结论有异议的，可自收到</w:t>
      </w:r>
      <w:r>
        <w:rPr>
          <w:rFonts w:hint="eastAsia" w:ascii="仿宋_GB2312" w:hAnsi="仿宋_GB2312" w:eastAsia="仿宋_GB2312" w:cs="仿宋_GB2312"/>
          <w:sz w:val="32"/>
          <w:szCs w:val="32"/>
          <w:lang w:val="en-US" w:eastAsia="zh-CN"/>
        </w:rPr>
        <w:t>评估结果反馈</w:t>
      </w:r>
      <w:r>
        <w:rPr>
          <w:rFonts w:hint="eastAsia" w:ascii="仿宋_GB2312" w:hAnsi="仿宋_GB2312" w:eastAsia="仿宋_GB2312" w:cs="仿宋_GB2312"/>
          <w:color w:val="auto"/>
          <w:sz w:val="32"/>
          <w:szCs w:val="32"/>
        </w:rPr>
        <w:t>之日起5个工作日内，向</w:t>
      </w:r>
      <w:r>
        <w:rPr>
          <w:rFonts w:hint="eastAsia" w:ascii="仿宋_GB2312" w:hAnsi="仿宋_GB2312" w:eastAsia="仿宋_GB2312" w:cs="仿宋_GB2312"/>
          <w:color w:val="auto"/>
          <w:sz w:val="32"/>
          <w:szCs w:val="32"/>
          <w:lang w:val="en-US" w:eastAsia="zh-CN"/>
        </w:rPr>
        <w:t>县区民政部门</w:t>
      </w:r>
      <w:r>
        <w:rPr>
          <w:rFonts w:hint="eastAsia" w:ascii="仿宋_GB2312" w:hAnsi="仿宋_GB2312" w:eastAsia="仿宋_GB2312" w:cs="仿宋_GB2312"/>
          <w:color w:val="auto"/>
          <w:sz w:val="32"/>
          <w:szCs w:val="32"/>
        </w:rPr>
        <w:t>提出复评申请。逾期未提出复评申请的，不再受理。</w:t>
      </w:r>
    </w:p>
    <w:p w14:paraId="66AEE416">
      <w:pPr>
        <w:keepNext w:val="0"/>
        <w:keepLines w:val="0"/>
        <w:pageBreakBefore w:val="0"/>
        <w:widowControl w:val="0"/>
        <w:kinsoku/>
        <w:wordWrap/>
        <w:overflowPunct/>
        <w:topLinePunct w:val="0"/>
        <w:autoSpaceDE/>
        <w:autoSpaceDN/>
        <w:bidi w:val="0"/>
        <w:adjustRightInd/>
        <w:snapToGrid/>
        <w:spacing w:line="579" w:lineRule="exact"/>
        <w:ind w:right="0" w:righ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县级民政部门按照本办法规定程序，委派与首次不同的评估机构和评估人员完成复评；经公示无异议的，由县级民政部门出具复评结论并在3个工作日内告知复评申请人。复评结论为本次评估的最终结论。</w:t>
      </w:r>
    </w:p>
    <w:p w14:paraId="1B1783ED">
      <w:pPr>
        <w:pStyle w:val="2"/>
        <w:keepNext w:val="0"/>
        <w:keepLines w:val="0"/>
        <w:pageBreakBefore w:val="0"/>
        <w:widowControl w:val="0"/>
        <w:numPr>
          <w:ilvl w:val="0"/>
          <w:numId w:val="0"/>
        </w:numPr>
        <w:kinsoku/>
        <w:wordWrap/>
        <w:overflowPunct/>
        <w:topLinePunct w:val="0"/>
        <w:autoSpaceDE/>
        <w:autoSpaceDN/>
        <w:bidi w:val="0"/>
        <w:adjustRightInd/>
        <w:snapToGrid/>
        <w:ind w:left="640" w:leftChars="0"/>
        <w:textAlignment w:val="auto"/>
        <w:rPr>
          <w:b w:val="0"/>
        </w:rPr>
      </w:pPr>
      <w:r>
        <w:rPr>
          <w:rFonts w:hint="eastAsia"/>
          <w:lang w:val="en-US" w:eastAsia="zh-CN"/>
        </w:rPr>
        <w:t xml:space="preserve">第十五条 </w:t>
      </w:r>
      <w:r>
        <w:t>档案管理：</w:t>
      </w:r>
    </w:p>
    <w:p w14:paraId="4E50AE06">
      <w:pPr>
        <w:pStyle w:val="4"/>
        <w:keepNext w:val="0"/>
        <w:keepLines w:val="0"/>
        <w:pageBreakBefore w:val="0"/>
        <w:widowControl w:val="0"/>
        <w:kinsoku/>
        <w:wordWrap/>
        <w:overflowPunct/>
        <w:topLinePunct w:val="0"/>
        <w:autoSpaceDE/>
        <w:autoSpaceDN/>
        <w:bidi w:val="0"/>
        <w:adjustRightInd/>
        <w:snapToGrid/>
        <w:textAlignment w:val="auto"/>
      </w:pPr>
      <w:r>
        <w:t>评估机构应建立完整的评估工作档案，包括申请表、评估表、评估报告、公示材料、复核记录等。所有档案应电子化并妥善保存，保存期限不少于5年。</w:t>
      </w:r>
    </w:p>
    <w:p w14:paraId="387A563C">
      <w:pPr>
        <w:pStyle w:val="11"/>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pPr>
      <w:r>
        <w:t>第</w:t>
      </w:r>
      <w:r>
        <w:rPr>
          <w:rFonts w:hint="eastAsia"/>
          <w:lang w:val="en-US" w:eastAsia="zh-CN"/>
        </w:rPr>
        <w:t>五</w:t>
      </w:r>
      <w:r>
        <w:t>章 结果应用与管理监督</w:t>
      </w:r>
    </w:p>
    <w:p w14:paraId="1C93A953">
      <w:pPr>
        <w:pStyle w:val="4"/>
        <w:keepNext w:val="0"/>
        <w:keepLines w:val="0"/>
        <w:pageBreakBefore w:val="0"/>
        <w:widowControl w:val="0"/>
        <w:numPr>
          <w:ilvl w:val="0"/>
          <w:numId w:val="0"/>
        </w:numPr>
        <w:kinsoku/>
        <w:wordWrap/>
        <w:overflowPunct/>
        <w:topLinePunct w:val="0"/>
        <w:autoSpaceDE/>
        <w:autoSpaceDN/>
        <w:bidi w:val="0"/>
        <w:adjustRightInd/>
        <w:snapToGrid/>
        <w:ind w:firstLine="616" w:firstLineChars="200"/>
        <w:textAlignment w:val="auto"/>
        <w:rPr>
          <w:rFonts w:hint="eastAsia" w:ascii="楷体_GB2312" w:hAnsi="楷体_GB2312" w:eastAsia="楷体_GB2312" w:cs="楷体_GB2312"/>
          <w:b w:val="0"/>
        </w:rPr>
      </w:pPr>
      <w:r>
        <w:rPr>
          <w:rFonts w:hint="eastAsia" w:ascii="黑体" w:hAnsi="黑体" w:eastAsia="黑体" w:cs="黑体"/>
          <w:b w:val="0"/>
          <w:bCs/>
        </w:rPr>
        <w:t>第</w:t>
      </w:r>
      <w:r>
        <w:rPr>
          <w:rFonts w:hint="eastAsia" w:ascii="黑体" w:hAnsi="黑体" w:eastAsia="黑体" w:cs="黑体"/>
          <w:b w:val="0"/>
          <w:bCs/>
          <w:lang w:val="en-US" w:eastAsia="zh-CN"/>
        </w:rPr>
        <w:t>十六</w:t>
      </w:r>
      <w:r>
        <w:rPr>
          <w:rFonts w:hint="eastAsia" w:ascii="黑体" w:hAnsi="黑体" w:eastAsia="黑体" w:cs="黑体"/>
          <w:b w:val="0"/>
          <w:bCs/>
        </w:rPr>
        <w:t xml:space="preserve">条 </w:t>
      </w:r>
      <w:r>
        <w:rPr>
          <w:rFonts w:hint="eastAsia"/>
        </w:rPr>
        <w:t>老年人能力评估依照《老年人能力评估规范》（GB/T 42195—2022）执行，围绕4个一级指标、26个二级指标对老年人能力进行评估。评估结果分为5个等级，分别为能力完好、能力轻度受损（轻度失能）、能力中度受损（中度失能）、能力重度受损（重度失能）、能力完全丧失（完全失能）。</w:t>
      </w:r>
    </w:p>
    <w:p w14:paraId="0BB1DFE7">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黑体" w:hAnsi="黑体" w:eastAsia="黑体" w:cs="黑体"/>
          <w:b w:val="0"/>
          <w:bCs/>
        </w:rPr>
        <w:t>第</w:t>
      </w:r>
      <w:r>
        <w:rPr>
          <w:rFonts w:hint="eastAsia" w:ascii="黑体" w:hAnsi="黑体" w:eastAsia="黑体" w:cs="黑体"/>
          <w:b w:val="0"/>
          <w:bCs/>
          <w:lang w:val="en-US" w:eastAsia="zh-CN"/>
        </w:rPr>
        <w:t>十</w:t>
      </w:r>
      <w:r>
        <w:rPr>
          <w:rFonts w:hint="eastAsia" w:cs="黑体"/>
          <w:b w:val="0"/>
          <w:bCs/>
          <w:lang w:val="en-US" w:eastAsia="zh-CN"/>
        </w:rPr>
        <w:t>七</w:t>
      </w:r>
      <w:r>
        <w:rPr>
          <w:rFonts w:hint="eastAsia" w:ascii="黑体" w:hAnsi="黑体" w:eastAsia="黑体" w:cs="黑体"/>
          <w:b w:val="0"/>
          <w:bCs/>
        </w:rPr>
        <w:t xml:space="preserve">条 </w:t>
      </w:r>
      <w:r>
        <w:rPr>
          <w:rFonts w:hint="eastAsia" w:ascii="仿宋" w:hAnsi="仿宋" w:eastAsia="仿宋" w:cs="仿宋"/>
          <w:sz w:val="32"/>
          <w:szCs w:val="32"/>
        </w:rPr>
        <w:t>老年人能力评估结果作为老年人享受相关补贴、接受基本养老服务以及养老机构享受运营</w:t>
      </w:r>
      <w:r>
        <w:rPr>
          <w:rFonts w:hint="default" w:ascii="仿宋" w:hAnsi="仿宋" w:eastAsia="仿宋" w:cs="仿宋"/>
          <w:sz w:val="32"/>
          <w:szCs w:val="32"/>
        </w:rPr>
        <w:t>奖补</w:t>
      </w:r>
      <w:r>
        <w:rPr>
          <w:rFonts w:hint="eastAsia" w:ascii="仿宋" w:hAnsi="仿宋" w:eastAsia="仿宋" w:cs="仿宋"/>
          <w:sz w:val="32"/>
          <w:szCs w:val="32"/>
        </w:rPr>
        <w:t>等的参考依据。</w:t>
      </w:r>
    </w:p>
    <w:p w14:paraId="783B3F9E">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rPr>
      </w:pPr>
      <w:r>
        <w:rPr>
          <w:rFonts w:hint="eastAsia"/>
          <w:lang w:val="en-US" w:eastAsia="zh-CN"/>
        </w:rPr>
        <w:t xml:space="preserve">第十八条 </w:t>
      </w:r>
      <w:r>
        <w:rPr>
          <w:rFonts w:hint="eastAsia" w:ascii="仿宋_GB2312" w:hAnsi="仿宋_GB2312" w:eastAsia="仿宋_GB2312" w:cs="仿宋_GB2312"/>
        </w:rPr>
        <w:t>老年人能力评估结果有效期为</w:t>
      </w:r>
      <w:r>
        <w:rPr>
          <w:rFonts w:hint="eastAsia" w:ascii="仿宋_GB2312" w:hAnsi="仿宋_GB2312" w:eastAsia="仿宋_GB2312" w:cs="仿宋_GB2312"/>
          <w:lang w:val="en-US" w:eastAsia="zh-CN"/>
        </w:rPr>
        <w:t>一</w:t>
      </w:r>
      <w:r>
        <w:rPr>
          <w:rFonts w:hint="eastAsia" w:ascii="仿宋_GB2312" w:hAnsi="仿宋_GB2312" w:eastAsia="仿宋_GB2312" w:cs="仿宋_GB2312"/>
        </w:rPr>
        <w:t>年。在有效期内，若老年人身体状况发生重大变化，经申请人提出，可提前申请重新评估。有效期届满前，应申请进行下一次评估。</w:t>
      </w:r>
    </w:p>
    <w:p w14:paraId="36B2A57C">
      <w:pPr>
        <w:pStyle w:val="2"/>
        <w:keepNext w:val="0"/>
        <w:keepLines w:val="0"/>
        <w:pageBreakBefore w:val="0"/>
        <w:widowControl w:val="0"/>
        <w:numPr>
          <w:ilvl w:val="0"/>
          <w:numId w:val="0"/>
        </w:numPr>
        <w:kinsoku/>
        <w:wordWrap/>
        <w:overflowPunct/>
        <w:topLinePunct w:val="0"/>
        <w:autoSpaceDE/>
        <w:autoSpaceDN/>
        <w:bidi w:val="0"/>
        <w:adjustRightInd/>
        <w:snapToGrid/>
        <w:ind w:left="630" w:leftChars="0"/>
        <w:textAlignment w:val="auto"/>
        <w:rPr>
          <w:b w:val="0"/>
        </w:rPr>
      </w:pPr>
      <w:r>
        <w:rPr>
          <w:rFonts w:hint="eastAsia"/>
          <w:lang w:val="en-US" w:eastAsia="zh-CN"/>
        </w:rPr>
        <w:t xml:space="preserve">第十九条 </w:t>
      </w:r>
      <w:r>
        <w:t>评估</w:t>
      </w:r>
      <w:r>
        <w:rPr>
          <w:rFonts w:hint="eastAsia"/>
          <w:lang w:val="en-US" w:eastAsia="zh-CN"/>
        </w:rPr>
        <w:t>费用</w:t>
      </w:r>
      <w:r>
        <w:t>：</w:t>
      </w:r>
    </w:p>
    <w:p w14:paraId="2A93FE1F">
      <w:pPr>
        <w:pStyle w:val="4"/>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rPr>
        <w:t>本市城乡</w:t>
      </w:r>
      <w:r>
        <w:rPr>
          <w:rFonts w:hint="eastAsia"/>
          <w:lang w:val="en-US" w:eastAsia="zh-CN"/>
        </w:rPr>
        <w:t>低保对象、计划生育特殊家庭的高龄、失能、残疾老年人,特困人员中的老年人所需评估费用，以及政府主动发起的评估工作的评估费用，所需经费由其户籍所在地的市（县）级财政负担，纳入同级财政预算。</w:t>
      </w:r>
    </w:p>
    <w:p w14:paraId="6314A1F3">
      <w:pPr>
        <w:pStyle w:val="4"/>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eastAsia"/>
          <w:lang w:val="en-US" w:eastAsia="zh-CN"/>
        </w:rPr>
        <w:t>申请复核评估的，复核评估结果与首次评估结果一致的，评估费用由申请人承担；复核评估结果与首次评估结果不一致的，评估费用由首次评估机构承担</w:t>
      </w:r>
      <w:r>
        <w:rPr>
          <w:rFonts w:hint="default"/>
          <w:lang w:val="en-US" w:eastAsia="zh-CN"/>
        </w:rPr>
        <w:t>。</w:t>
      </w:r>
    </w:p>
    <w:p w14:paraId="1FA67AE0">
      <w:pPr>
        <w:pStyle w:val="4"/>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t>其他老年人的评估费用由申请人或结果使用单位承担。</w:t>
      </w:r>
    </w:p>
    <w:p w14:paraId="06C1E4AA">
      <w:pPr>
        <w:pStyle w:val="2"/>
        <w:keepNext w:val="0"/>
        <w:keepLines w:val="0"/>
        <w:pageBreakBefore w:val="0"/>
        <w:widowControl w:val="0"/>
        <w:numPr>
          <w:ilvl w:val="0"/>
          <w:numId w:val="0"/>
        </w:numPr>
        <w:kinsoku/>
        <w:wordWrap/>
        <w:overflowPunct/>
        <w:topLinePunct w:val="0"/>
        <w:autoSpaceDE/>
        <w:autoSpaceDN/>
        <w:bidi w:val="0"/>
        <w:adjustRightInd/>
        <w:snapToGrid/>
        <w:ind w:left="630" w:leftChars="0"/>
        <w:textAlignment w:val="auto"/>
        <w:rPr>
          <w:b w:val="0"/>
        </w:rPr>
      </w:pPr>
      <w:r>
        <w:rPr>
          <w:rFonts w:hint="eastAsia"/>
          <w:lang w:val="en-US" w:eastAsia="zh-CN"/>
        </w:rPr>
        <w:t xml:space="preserve">第二十条 </w:t>
      </w:r>
      <w:r>
        <w:t>监督管理：</w:t>
      </w:r>
    </w:p>
    <w:p w14:paraId="54CDA87D">
      <w:pPr>
        <w:pStyle w:val="4"/>
        <w:keepNext w:val="0"/>
        <w:keepLines w:val="0"/>
        <w:pageBreakBefore w:val="0"/>
        <w:widowControl w:val="0"/>
        <w:numPr>
          <w:ilvl w:val="0"/>
          <w:numId w:val="8"/>
        </w:numPr>
        <w:kinsoku/>
        <w:wordWrap/>
        <w:overflowPunct/>
        <w:topLinePunct w:val="0"/>
        <w:autoSpaceDE/>
        <w:autoSpaceDN/>
        <w:bidi w:val="0"/>
        <w:adjustRightInd/>
        <w:snapToGrid/>
        <w:ind w:left="0" w:leftChars="0" w:firstLine="616" w:firstLineChars="0"/>
        <w:textAlignment w:val="auto"/>
        <w:rPr>
          <w:b w:val="0"/>
        </w:rPr>
      </w:pPr>
      <w:r>
        <w:rPr>
          <w:rFonts w:hint="eastAsia"/>
        </w:rPr>
        <w:t>评估机构应制定内部管理制度，明确工作流程，组织人员培训，提高评估质量和效率，并主动接受监督。</w:t>
      </w:r>
    </w:p>
    <w:p w14:paraId="532C0DD7">
      <w:pPr>
        <w:pStyle w:val="4"/>
        <w:keepNext w:val="0"/>
        <w:keepLines w:val="0"/>
        <w:pageBreakBefore w:val="0"/>
        <w:widowControl w:val="0"/>
        <w:numPr>
          <w:ilvl w:val="0"/>
          <w:numId w:val="8"/>
        </w:numPr>
        <w:kinsoku/>
        <w:wordWrap/>
        <w:overflowPunct/>
        <w:topLinePunct w:val="0"/>
        <w:autoSpaceDE/>
        <w:autoSpaceDN/>
        <w:bidi w:val="0"/>
        <w:adjustRightInd/>
        <w:snapToGrid/>
        <w:ind w:left="0" w:leftChars="0" w:firstLine="616" w:firstLineChars="0"/>
        <w:textAlignment w:val="auto"/>
        <w:rPr>
          <w:b w:val="0"/>
        </w:rPr>
      </w:pPr>
      <w:r>
        <w:rPr>
          <w:rFonts w:hint="eastAsia"/>
        </w:rPr>
        <w:t>县级民政部门应以适当方式向社会公开评估机构和评估人员名单，并探索建立退出机制，面向社会公众公布举报投诉电话，及时查证处理违规行为。</w:t>
      </w:r>
    </w:p>
    <w:p w14:paraId="2AC006CA">
      <w:pPr>
        <w:pStyle w:val="4"/>
        <w:keepNext w:val="0"/>
        <w:keepLines w:val="0"/>
        <w:pageBreakBefore w:val="0"/>
        <w:widowControl w:val="0"/>
        <w:numPr>
          <w:ilvl w:val="0"/>
          <w:numId w:val="8"/>
        </w:numPr>
        <w:kinsoku/>
        <w:wordWrap/>
        <w:overflowPunct/>
        <w:topLinePunct w:val="0"/>
        <w:autoSpaceDE/>
        <w:autoSpaceDN/>
        <w:bidi w:val="0"/>
        <w:adjustRightInd/>
        <w:snapToGrid/>
        <w:ind w:left="0" w:leftChars="0" w:firstLine="616" w:firstLineChars="0"/>
        <w:textAlignment w:val="auto"/>
        <w:rPr>
          <w:rFonts w:hint="eastAsia"/>
          <w:spacing wpsCustomData:val="-6" w:val="6"/>
        </w:rPr>
      </w:pPr>
      <w:r>
        <w:rPr>
          <w:rFonts w:hint="eastAsia"/>
          <w:spacing wpsCustomData:val="-6" w:val="6"/>
        </w:rPr>
        <w:t>市县两级民政部门可委托专业机构（第三方审查机构）对评估报告进行抽查，抽查重点为能力中度受损（中度失能）及以上等级的评估报告。</w:t>
      </w:r>
    </w:p>
    <w:p w14:paraId="2E013D2D">
      <w:pPr>
        <w:pStyle w:val="4"/>
        <w:keepNext w:val="0"/>
        <w:keepLines w:val="0"/>
        <w:pageBreakBefore w:val="0"/>
        <w:widowControl w:val="0"/>
        <w:numPr>
          <w:ilvl w:val="0"/>
          <w:numId w:val="0"/>
        </w:numPr>
        <w:kinsoku/>
        <w:wordWrap/>
        <w:overflowPunct/>
        <w:topLinePunct w:val="0"/>
        <w:autoSpaceDE/>
        <w:autoSpaceDN/>
        <w:bidi w:val="0"/>
        <w:adjustRightInd/>
        <w:snapToGrid/>
        <w:ind w:firstLine="616" w:firstLineChars="200"/>
        <w:textAlignment w:val="auto"/>
        <w:rPr>
          <w:rFonts w:hint="eastAsia" w:ascii="仿宋_GB2312" w:hAnsi="仿宋_GB2312" w:eastAsia="仿宋_GB2312" w:cs="仿宋_GB2312"/>
          <w:b w:val="0"/>
        </w:rPr>
      </w:pPr>
      <w:r>
        <w:rPr>
          <w:rFonts w:hint="eastAsia" w:ascii="黑体" w:hAnsi="黑体" w:eastAsia="黑体" w:cs="黑体"/>
          <w:lang w:val="en-US" w:eastAsia="zh-CN"/>
        </w:rPr>
        <w:t xml:space="preserve">第二十一条 </w:t>
      </w:r>
      <w:r>
        <w:rPr>
          <w:rFonts w:hint="eastAsia" w:ascii="仿宋_GB2312" w:hAnsi="仿宋_GB2312" w:eastAsia="仿宋_GB2312" w:cs="仿宋_GB2312"/>
          <w:b w:val="0"/>
        </w:rPr>
        <w:t>在有效期内，若老年人身体状况发生重大变化，经申请人提出，可提前申请重新评估。有效期届满前，应申请进行下一次评估。</w:t>
      </w:r>
    </w:p>
    <w:p w14:paraId="25B9C35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第二十二条 </w:t>
      </w:r>
      <w:r>
        <w:rPr>
          <w:rFonts w:hint="eastAsia" w:ascii="仿宋_GB2312" w:hAnsi="仿宋_GB2312" w:eastAsia="仿宋_GB2312" w:cs="仿宋_GB2312"/>
          <w:sz w:val="32"/>
          <w:szCs w:val="32"/>
          <w:lang w:val="en-US" w:eastAsia="zh-CN"/>
        </w:rPr>
        <w:t>评估机构和评估人员应当对评估对象、评估过程、评估结果等评估信息予以保密，不得向与评估工作无关的单位和个人泄露，不得将评估信息用于履行工作职责或合同义务以外的任何其他用途。</w:t>
      </w:r>
    </w:p>
    <w:p w14:paraId="14BE0F2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第二十三条 </w:t>
      </w:r>
      <w:r>
        <w:rPr>
          <w:rFonts w:hint="eastAsia" w:ascii="仿宋_GB2312" w:hAnsi="仿宋_GB2312" w:eastAsia="仿宋_GB2312" w:cs="仿宋_GB2312"/>
          <w:sz w:val="32"/>
          <w:szCs w:val="32"/>
          <w:lang w:val="en-US" w:eastAsia="zh-CN"/>
        </w:rPr>
        <w:t>评估机构和评估人员有出具虚假评估报告、篡改评估结果等情形的，应退回评估费用，依据相关规定和服务协议承担责任；涉嫌犯罪的，依法移送司法机关处理。</w:t>
      </w:r>
    </w:p>
    <w:p w14:paraId="21F5FA0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第二十四条 </w:t>
      </w:r>
      <w:r>
        <w:rPr>
          <w:rFonts w:hint="eastAsia" w:ascii="仿宋_GB2312" w:hAnsi="仿宋_GB2312" w:eastAsia="仿宋_GB2312" w:cs="仿宋_GB2312"/>
          <w:sz w:val="32"/>
          <w:szCs w:val="32"/>
          <w:lang w:val="en-US" w:eastAsia="zh-CN"/>
        </w:rPr>
        <w:t>评估对象以欺诈、伪造证明材料或其他手段获取评估结果的，依法追回政府补贴补助资金；涉嫌犯罪的，依法移送司法机关处理。</w:t>
      </w:r>
    </w:p>
    <w:p w14:paraId="63AB9ED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第二十五条 </w:t>
      </w:r>
      <w:r>
        <w:rPr>
          <w:rFonts w:hint="eastAsia" w:ascii="仿宋_GB2312" w:hAnsi="仿宋_GB2312" w:eastAsia="仿宋_GB2312" w:cs="仿宋_GB2312"/>
          <w:sz w:val="32"/>
          <w:szCs w:val="32"/>
          <w:lang w:val="en-US" w:eastAsia="zh-CN"/>
        </w:rPr>
        <w:t>涉及评估工作的相关部门和个人应当自觉接受监督检查，存在滥用职权、玩忽职守、徇私舞弊等违法违纪行为的，按照有关规定追究相应责任；涉嫌犯罪的，依法移送司法机关处理。</w:t>
      </w:r>
    </w:p>
    <w:p w14:paraId="7D9F5AA3">
      <w:pPr>
        <w:pStyle w:val="11"/>
        <w:keepNext w:val="0"/>
        <w:keepLines w:val="0"/>
        <w:pageBreakBefore w:val="0"/>
        <w:widowControl w:val="0"/>
        <w:kinsoku/>
        <w:wordWrap/>
        <w:overflowPunct/>
        <w:topLinePunct w:val="0"/>
        <w:autoSpaceDE/>
        <w:autoSpaceDN/>
        <w:bidi w:val="0"/>
        <w:adjustRightInd/>
        <w:snapToGrid/>
        <w:spacing w:before="313" w:beforeLines="100" w:after="313" w:afterLines="100"/>
        <w:textAlignment w:val="auto"/>
      </w:pPr>
      <w:r>
        <w:t>第</w:t>
      </w:r>
      <w:r>
        <w:rPr>
          <w:rFonts w:hint="eastAsia"/>
          <w:lang w:val="en-US" w:eastAsia="zh-CN"/>
        </w:rPr>
        <w:t>六</w:t>
      </w:r>
      <w:r>
        <w:t>章 附则</w:t>
      </w:r>
    </w:p>
    <w:p w14:paraId="11315778">
      <w:pPr>
        <w:pStyle w:val="4"/>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 xml:space="preserve">第二十六条 </w:t>
      </w:r>
      <w:r>
        <w:t>本办法由市民政局负责解释。</w:t>
      </w:r>
    </w:p>
    <w:p w14:paraId="44CB439D">
      <w:pPr>
        <w:pStyle w:val="4"/>
        <w:keepNext w:val="0"/>
        <w:keepLines w:val="0"/>
        <w:pageBreakBefore w:val="0"/>
        <w:widowControl w:val="0"/>
        <w:kinsoku/>
        <w:wordWrap/>
        <w:overflowPunct/>
        <w:topLinePunct w:val="0"/>
        <w:autoSpaceDE/>
        <w:autoSpaceDN/>
        <w:bidi w:val="0"/>
        <w:adjustRightInd/>
        <w:snapToGrid/>
        <w:textAlignment w:val="auto"/>
        <w:rPr>
          <w:rFonts w:hint="default" w:eastAsia="仿宋_GB2312"/>
          <w:lang w:val="en-US" w:eastAsia="zh-CN"/>
        </w:rPr>
      </w:pPr>
      <w:r>
        <w:rPr>
          <w:rFonts w:hint="eastAsia" w:ascii="黑体" w:hAnsi="黑体" w:eastAsia="黑体" w:cs="黑体"/>
          <w:sz w:val="32"/>
          <w:szCs w:val="32"/>
          <w:lang w:val="en-US" w:eastAsia="zh-CN"/>
        </w:rPr>
        <w:t xml:space="preserve">第二十七条 </w:t>
      </w:r>
      <w:r>
        <w:rPr>
          <w:rFonts w:hint="eastAsia"/>
        </w:rPr>
        <w:t>本办法自发布之日起施行。《池州市老年人能力评估实施办法》（池民福〔2019〕118号）同时废止。</w:t>
      </w:r>
    </w:p>
    <w:p w14:paraId="41F46847">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p>
    <w:p w14:paraId="7721A555">
      <w:pPr>
        <w:jc w:val="left"/>
        <w:rPr>
          <w:rFonts w:hint="eastAsia" w:ascii="黑体" w:hAnsi="黑体" w:eastAsia="黑体" w:cs="黑体"/>
          <w:b w:val="0"/>
          <w:bCs w:val="0"/>
          <w:sz w:val="32"/>
          <w:szCs w:val="32"/>
          <w:lang w:eastAsia="zh-CN"/>
        </w:rPr>
      </w:pPr>
    </w:p>
    <w:p w14:paraId="71B6359B">
      <w:pPr>
        <w:jc w:val="left"/>
        <w:rPr>
          <w:rFonts w:hint="eastAsia" w:ascii="黑体" w:hAnsi="黑体" w:eastAsia="黑体" w:cs="黑体"/>
          <w:b w:val="0"/>
          <w:bCs w:val="0"/>
          <w:sz w:val="32"/>
          <w:szCs w:val="32"/>
          <w:lang w:eastAsia="zh-CN"/>
        </w:rPr>
      </w:pPr>
    </w:p>
    <w:p w14:paraId="56BAE02B">
      <w:pPr>
        <w:jc w:val="left"/>
        <w:rPr>
          <w:rFonts w:hint="eastAsia" w:ascii="黑体" w:hAnsi="黑体" w:eastAsia="黑体" w:cs="黑体"/>
          <w:b w:val="0"/>
          <w:bCs w:val="0"/>
          <w:sz w:val="32"/>
          <w:szCs w:val="32"/>
          <w:lang w:eastAsia="zh-CN"/>
        </w:rPr>
      </w:pPr>
    </w:p>
    <w:p w14:paraId="12406835">
      <w:pPr>
        <w:jc w:val="left"/>
        <w:rPr>
          <w:rFonts w:hint="eastAsia" w:ascii="黑体" w:hAnsi="黑体" w:eastAsia="黑体" w:cs="黑体"/>
          <w:b w:val="0"/>
          <w:bCs w:val="0"/>
          <w:sz w:val="32"/>
          <w:szCs w:val="32"/>
          <w:lang w:eastAsia="zh-CN"/>
        </w:rPr>
      </w:pPr>
    </w:p>
    <w:p w14:paraId="09BFF578">
      <w:pPr>
        <w:jc w:val="left"/>
        <w:rPr>
          <w:rFonts w:hint="eastAsia" w:ascii="黑体" w:hAnsi="黑体" w:eastAsia="黑体" w:cs="黑体"/>
          <w:b w:val="0"/>
          <w:bCs w:val="0"/>
          <w:sz w:val="32"/>
          <w:szCs w:val="32"/>
          <w:lang w:eastAsia="zh-CN"/>
        </w:rPr>
      </w:pPr>
    </w:p>
    <w:p w14:paraId="6FB1654C">
      <w:pPr>
        <w:jc w:val="left"/>
        <w:rPr>
          <w:rFonts w:hint="eastAsia" w:ascii="黑体" w:hAnsi="黑体" w:eastAsia="黑体" w:cs="黑体"/>
          <w:b w:val="0"/>
          <w:bCs w:val="0"/>
          <w:sz w:val="32"/>
          <w:szCs w:val="32"/>
          <w:lang w:eastAsia="zh-CN"/>
        </w:rPr>
      </w:pPr>
    </w:p>
    <w:p w14:paraId="66B4496B">
      <w:pPr>
        <w:jc w:val="left"/>
        <w:rPr>
          <w:rFonts w:hint="eastAsia" w:ascii="黑体" w:hAnsi="黑体" w:eastAsia="黑体" w:cs="黑体"/>
          <w:b w:val="0"/>
          <w:bCs w:val="0"/>
          <w:sz w:val="32"/>
          <w:szCs w:val="32"/>
          <w:lang w:eastAsia="zh-CN"/>
        </w:rPr>
      </w:pPr>
    </w:p>
    <w:p w14:paraId="58C1B3AD">
      <w:pPr>
        <w:rPr>
          <w:rFonts w:hint="default" w:ascii="仿宋_GB2312" w:hAnsi="仿宋_GB2312" w:eastAsia="仿宋_GB2312" w:cs="仿宋_GB2312"/>
          <w:sz w:val="32"/>
          <w:szCs w:val="32"/>
          <w:lang w:val="en-US" w:eastAsia="zh-CN"/>
        </w:rPr>
      </w:pPr>
    </w:p>
    <w:sectPr>
      <w:footerReference r:id="rId3" w:type="default"/>
      <w:pgSz w:w="11906" w:h="16838"/>
      <w:pgMar w:top="1701" w:right="1474" w:bottom="1417" w:left="1587" w:header="851" w:footer="1134" w:gutter="0"/>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503050405090304"/>
    <w:charset w:val="CC"/>
    <w:family w:val="roman"/>
    <w:pitch w:val="default"/>
    <w:sig w:usb0="00000000" w:usb1="00000000" w:usb2="00000001" w:usb3="00000000" w:csb0="400001BF" w:csb1="DFF7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国标黑体">
    <w:panose1 w:val="02000500000000000000"/>
    <w:charset w:val="86"/>
    <w:family w:val="auto"/>
    <w:pitch w:val="default"/>
    <w:sig w:usb0="00000001" w:usb1="08000000" w:usb2="00000000" w:usb3="00000000" w:csb0="00060007" w:csb1="00000000"/>
  </w:font>
  <w:font w:name="国标楷体">
    <w:panose1 w:val="02000500000000000000"/>
    <w:charset w:val="86"/>
    <w:family w:val="auto"/>
    <w:pitch w:val="default"/>
    <w:sig w:usb0="00000001" w:usb1="08000000" w:usb2="00000000" w:usb3="00000000" w:csb0="00060007" w:csb1="00000000"/>
  </w:font>
  <w:font w:name="国标宋体-超大字符集">
    <w:panose1 w:val="03000509000000000000"/>
    <w:charset w:val="86"/>
    <w:family w:val="auto"/>
    <w:pitch w:val="default"/>
    <w:sig w:usb0="00000001" w:usb1="08000000" w:usb2="00000000" w:usb3="00000000" w:csb0="00040001" w:csb1="00000000"/>
  </w:font>
  <w:font w:name="国标仿宋">
    <w:panose1 w:val="02000500000000000000"/>
    <w:charset w:val="86"/>
    <w:family w:val="auto"/>
    <w:pitch w:val="default"/>
    <w:sig w:usb0="A00002BF" w:usb1="38C7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7D491">
    <w:pPr>
      <w:pStyle w:val="5"/>
    </w:pPr>
    <w:r>
      <w:rPr>
        <w:sz w:val="18"/>
      </w:rPr>
      <mc:AlternateContent>
        <mc:Choice Requires="wps">
          <w:drawing>
            <wp:anchor distT="0" distB="0" distL="114300" distR="114300" simplePos="0" relativeHeight="251659264" behindDoc="0" locked="0" layoutInCell="1" allowOverlap="1">
              <wp:simplePos x="0" y="0"/>
              <wp:positionH relativeFrom="margin">
                <wp:posOffset>4952365</wp:posOffset>
              </wp:positionH>
              <wp:positionV relativeFrom="paragraph">
                <wp:posOffset>-156845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77064F">
                          <w:pPr>
                            <w:pStyle w:val="5"/>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left:389.95pt;margin-top:-12.35pt;height:144pt;width:144pt;mso-position-horizontal-relative:margin;mso-wrap-style:none;z-index:251659264;mso-width-relative:page;mso-height-relative:page;" filled="f" stroked="f" coordsize="21600,21600" o:gfxdata="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ZyNkDYAAAADAEAAA8AAAAAAAAAAQAgAAAAIgAAAGRycy9k&#10;b3ducmV2LnhtbFBLAQIUABQAAAAIAIdO4kDUX5QmyQEAAJkDAAAOAAAAAAAAAAEAIAAAACcBAABk&#10;cnMvZTJvRG9jLnhtbFBLBQYAAAAABgAGAFkBAABiBQAAAAA=&#10;">
              <v:fill on="f" focussize="0,0"/>
              <v:stroke on="f"/>
              <v:imagedata o:title=""/>
              <o:lock v:ext="edit" aspectratio="f"/>
              <v:textbox inset="0mm,0mm,0mm,0mm" style="mso-fit-shape-to-text:t;">
                <w:txbxContent>
                  <w:p w14:paraId="6B77064F">
                    <w:pPr>
                      <w:pStyle w:val="5"/>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EFDDE"/>
    <w:multiLevelType w:val="singleLevel"/>
    <w:tmpl w:val="961EFDDE"/>
    <w:lvl w:ilvl="0" w:tentative="0">
      <w:start w:val="1"/>
      <w:numFmt w:val="chineseCounting"/>
      <w:suff w:val="nothing"/>
      <w:lvlText w:val="（%1）"/>
      <w:lvlJc w:val="left"/>
      <w:pPr>
        <w:ind w:left="0" w:firstLine="616"/>
      </w:pPr>
      <w:rPr>
        <w:rFonts w:hint="eastAsia"/>
      </w:rPr>
    </w:lvl>
  </w:abstractNum>
  <w:abstractNum w:abstractNumId="1">
    <w:nsid w:val="BDBE2FBA"/>
    <w:multiLevelType w:val="singleLevel"/>
    <w:tmpl w:val="BDBE2FBA"/>
    <w:lvl w:ilvl="0" w:tentative="0">
      <w:start w:val="1"/>
      <w:numFmt w:val="taiwaneseCounting"/>
      <w:suff w:val="nothing"/>
      <w:lvlText w:val="（%1）"/>
      <w:lvlJc w:val="left"/>
      <w:pPr>
        <w:ind w:left="0" w:firstLine="616"/>
      </w:pPr>
      <w:rPr>
        <w:rFonts w:hint="eastAsia"/>
      </w:rPr>
    </w:lvl>
  </w:abstractNum>
  <w:abstractNum w:abstractNumId="2">
    <w:nsid w:val="DC343F6D"/>
    <w:multiLevelType w:val="singleLevel"/>
    <w:tmpl w:val="DC343F6D"/>
    <w:lvl w:ilvl="0" w:tentative="0">
      <w:start w:val="1"/>
      <w:numFmt w:val="taiwaneseCounting"/>
      <w:suff w:val="nothing"/>
      <w:lvlText w:val="（%1）"/>
      <w:lvlJc w:val="left"/>
      <w:pPr>
        <w:ind w:left="0" w:firstLine="616"/>
      </w:pPr>
      <w:rPr>
        <w:rFonts w:hint="eastAsia"/>
      </w:rPr>
    </w:lvl>
  </w:abstractNum>
  <w:abstractNum w:abstractNumId="3">
    <w:nsid w:val="EFFEF9D1"/>
    <w:multiLevelType w:val="singleLevel"/>
    <w:tmpl w:val="EFFEF9D1"/>
    <w:lvl w:ilvl="0" w:tentative="0">
      <w:start w:val="10"/>
      <w:numFmt w:val="chineseCounting"/>
      <w:suff w:val="nothing"/>
      <w:lvlText w:val="第%1条　"/>
      <w:lvlJc w:val="left"/>
      <w:pPr>
        <w:ind w:left="0" w:firstLine="640"/>
      </w:pPr>
      <w:rPr>
        <w:rFonts w:hint="eastAsia"/>
      </w:rPr>
    </w:lvl>
  </w:abstractNum>
  <w:abstractNum w:abstractNumId="4">
    <w:nsid w:val="F3E4F610"/>
    <w:multiLevelType w:val="singleLevel"/>
    <w:tmpl w:val="F3E4F610"/>
    <w:lvl w:ilvl="0" w:tentative="0">
      <w:start w:val="1"/>
      <w:numFmt w:val="chineseCounting"/>
      <w:suff w:val="nothing"/>
      <w:lvlText w:val="（%1）"/>
      <w:lvlJc w:val="left"/>
      <w:pPr>
        <w:ind w:left="0" w:firstLine="616"/>
      </w:pPr>
      <w:rPr>
        <w:rFonts w:hint="eastAsia"/>
      </w:rPr>
    </w:lvl>
  </w:abstractNum>
  <w:abstractNum w:abstractNumId="5">
    <w:nsid w:val="F9FEAD06"/>
    <w:multiLevelType w:val="singleLevel"/>
    <w:tmpl w:val="F9FEAD06"/>
    <w:lvl w:ilvl="0" w:tentative="0">
      <w:start w:val="1"/>
      <w:numFmt w:val="chineseCounting"/>
      <w:suff w:val="nothing"/>
      <w:lvlText w:val="（%1）"/>
      <w:lvlJc w:val="left"/>
      <w:rPr>
        <w:rFonts w:hint="eastAsia"/>
      </w:rPr>
    </w:lvl>
  </w:abstractNum>
  <w:abstractNum w:abstractNumId="6">
    <w:nsid w:val="76F36F31"/>
    <w:multiLevelType w:val="singleLevel"/>
    <w:tmpl w:val="76F36F31"/>
    <w:lvl w:ilvl="0" w:tentative="0">
      <w:start w:val="1"/>
      <w:numFmt w:val="chineseCounting"/>
      <w:suff w:val="nothing"/>
      <w:lvlText w:val="（%1）"/>
      <w:lvlJc w:val="left"/>
      <w:pPr>
        <w:ind w:left="0" w:firstLine="616"/>
      </w:pPr>
      <w:rPr>
        <w:rFonts w:hint="eastAsia"/>
      </w:rPr>
    </w:lvl>
  </w:abstractNum>
  <w:abstractNum w:abstractNumId="7">
    <w:nsid w:val="797EDFF8"/>
    <w:multiLevelType w:val="singleLevel"/>
    <w:tmpl w:val="797EDFF8"/>
    <w:lvl w:ilvl="0" w:tentative="0">
      <w:start w:val="7"/>
      <w:numFmt w:val="chineseCounting"/>
      <w:suff w:val="space"/>
      <w:lvlText w:val="第%1条"/>
      <w:lvlJc w:val="left"/>
      <w:rPr>
        <w:rFonts w:hint="eastAsia" w:ascii="黑体" w:hAnsi="黑体" w:eastAsia="黑体" w:cs="黑体"/>
        <w:b w:val="0"/>
        <w:bCs w:val="0"/>
      </w:rPr>
    </w:lvl>
  </w:abstractNum>
  <w:num w:numId="1">
    <w:abstractNumId w:val="1"/>
  </w:num>
  <w:num w:numId="2">
    <w:abstractNumId w:val="4"/>
  </w:num>
  <w:num w:numId="3">
    <w:abstractNumId w:val="2"/>
  </w:num>
  <w:num w:numId="4">
    <w:abstractNumId w:val="7"/>
  </w:num>
  <w:num w:numId="5">
    <w:abstractNumId w:val="5"/>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C43F85"/>
    <w:rsid w:val="003F23CE"/>
    <w:rsid w:val="00473031"/>
    <w:rsid w:val="005D4CAC"/>
    <w:rsid w:val="012375FA"/>
    <w:rsid w:val="012B64AF"/>
    <w:rsid w:val="01374E54"/>
    <w:rsid w:val="027A7E4F"/>
    <w:rsid w:val="02AD7AC3"/>
    <w:rsid w:val="02CD3CC1"/>
    <w:rsid w:val="03195159"/>
    <w:rsid w:val="034321D6"/>
    <w:rsid w:val="038325D2"/>
    <w:rsid w:val="03AC38D7"/>
    <w:rsid w:val="04E81A9D"/>
    <w:rsid w:val="05340028"/>
    <w:rsid w:val="05873034"/>
    <w:rsid w:val="06CD24E2"/>
    <w:rsid w:val="07AD40C1"/>
    <w:rsid w:val="0AC7549A"/>
    <w:rsid w:val="0BCB720C"/>
    <w:rsid w:val="0C9738D4"/>
    <w:rsid w:val="0D091D9A"/>
    <w:rsid w:val="0D8256A8"/>
    <w:rsid w:val="0EC51CF1"/>
    <w:rsid w:val="0EDE2DB2"/>
    <w:rsid w:val="0F16254C"/>
    <w:rsid w:val="0F3155D8"/>
    <w:rsid w:val="0FEE5277"/>
    <w:rsid w:val="103C317F"/>
    <w:rsid w:val="119D6F55"/>
    <w:rsid w:val="11B147AE"/>
    <w:rsid w:val="128D0D77"/>
    <w:rsid w:val="129465AA"/>
    <w:rsid w:val="12A460C1"/>
    <w:rsid w:val="136C6BDF"/>
    <w:rsid w:val="13A303FD"/>
    <w:rsid w:val="14327E28"/>
    <w:rsid w:val="154C316C"/>
    <w:rsid w:val="15761F97"/>
    <w:rsid w:val="164125A5"/>
    <w:rsid w:val="168C45E3"/>
    <w:rsid w:val="16BE1E47"/>
    <w:rsid w:val="17563E2E"/>
    <w:rsid w:val="17740758"/>
    <w:rsid w:val="17BB6387"/>
    <w:rsid w:val="18BF3C55"/>
    <w:rsid w:val="1921046B"/>
    <w:rsid w:val="19866520"/>
    <w:rsid w:val="199649B5"/>
    <w:rsid w:val="19FA13E8"/>
    <w:rsid w:val="1A903AFB"/>
    <w:rsid w:val="1A930EF5"/>
    <w:rsid w:val="1B3C701D"/>
    <w:rsid w:val="1D1722B1"/>
    <w:rsid w:val="1D210A3A"/>
    <w:rsid w:val="1DF148B0"/>
    <w:rsid w:val="1E2E78B2"/>
    <w:rsid w:val="1E6432D4"/>
    <w:rsid w:val="1E696B3C"/>
    <w:rsid w:val="1E803E86"/>
    <w:rsid w:val="1FA3607E"/>
    <w:rsid w:val="1FCF6E73"/>
    <w:rsid w:val="208C08C0"/>
    <w:rsid w:val="209E05F3"/>
    <w:rsid w:val="20DB1848"/>
    <w:rsid w:val="21570ECE"/>
    <w:rsid w:val="21B005DE"/>
    <w:rsid w:val="21C4408A"/>
    <w:rsid w:val="223A4C8D"/>
    <w:rsid w:val="235002CB"/>
    <w:rsid w:val="23DF33FD"/>
    <w:rsid w:val="242D23BA"/>
    <w:rsid w:val="25CD5C03"/>
    <w:rsid w:val="25D36F91"/>
    <w:rsid w:val="26345C82"/>
    <w:rsid w:val="27734588"/>
    <w:rsid w:val="28221B0A"/>
    <w:rsid w:val="28940C5A"/>
    <w:rsid w:val="28F17E5A"/>
    <w:rsid w:val="29235B3A"/>
    <w:rsid w:val="29E67293"/>
    <w:rsid w:val="2A0D0CC4"/>
    <w:rsid w:val="2A1536D4"/>
    <w:rsid w:val="2A750617"/>
    <w:rsid w:val="2ACD2201"/>
    <w:rsid w:val="2B400C25"/>
    <w:rsid w:val="2C90798A"/>
    <w:rsid w:val="2D236108"/>
    <w:rsid w:val="2E756E38"/>
    <w:rsid w:val="2F776BDF"/>
    <w:rsid w:val="2F867E9C"/>
    <w:rsid w:val="2FCD4A51"/>
    <w:rsid w:val="30647164"/>
    <w:rsid w:val="31661FF7"/>
    <w:rsid w:val="31973569"/>
    <w:rsid w:val="31C75BFC"/>
    <w:rsid w:val="31F255AF"/>
    <w:rsid w:val="31F44517"/>
    <w:rsid w:val="339935C8"/>
    <w:rsid w:val="33D26ADA"/>
    <w:rsid w:val="34727975"/>
    <w:rsid w:val="34C43F85"/>
    <w:rsid w:val="364C2B74"/>
    <w:rsid w:val="368A369C"/>
    <w:rsid w:val="37425D25"/>
    <w:rsid w:val="37677539"/>
    <w:rsid w:val="377759CE"/>
    <w:rsid w:val="378C0D4E"/>
    <w:rsid w:val="385D6706"/>
    <w:rsid w:val="388859B9"/>
    <w:rsid w:val="38D1110E"/>
    <w:rsid w:val="39E6508D"/>
    <w:rsid w:val="3B8E778B"/>
    <w:rsid w:val="3BBD1E1E"/>
    <w:rsid w:val="3C145EE2"/>
    <w:rsid w:val="3CA37533"/>
    <w:rsid w:val="3CA56B3A"/>
    <w:rsid w:val="3D314871"/>
    <w:rsid w:val="3E5661DC"/>
    <w:rsid w:val="3E9230EE"/>
    <w:rsid w:val="3EEF5243"/>
    <w:rsid w:val="3FDD2A8F"/>
    <w:rsid w:val="404B5C4A"/>
    <w:rsid w:val="41362456"/>
    <w:rsid w:val="415648A7"/>
    <w:rsid w:val="42773149"/>
    <w:rsid w:val="42982C9D"/>
    <w:rsid w:val="431B5DA8"/>
    <w:rsid w:val="433B1FA6"/>
    <w:rsid w:val="43EF4389"/>
    <w:rsid w:val="443231BD"/>
    <w:rsid w:val="45DE30BD"/>
    <w:rsid w:val="45F44AF1"/>
    <w:rsid w:val="462705C0"/>
    <w:rsid w:val="46C6427C"/>
    <w:rsid w:val="46F506BE"/>
    <w:rsid w:val="47134FE8"/>
    <w:rsid w:val="471E7C15"/>
    <w:rsid w:val="480908C5"/>
    <w:rsid w:val="48A203D1"/>
    <w:rsid w:val="490436CB"/>
    <w:rsid w:val="49507E2D"/>
    <w:rsid w:val="495C2C76"/>
    <w:rsid w:val="4BF52F0E"/>
    <w:rsid w:val="4C95573E"/>
    <w:rsid w:val="4D3A1520"/>
    <w:rsid w:val="4E340D9C"/>
    <w:rsid w:val="4EEA2AD2"/>
    <w:rsid w:val="4F161B19"/>
    <w:rsid w:val="4F296C31"/>
    <w:rsid w:val="4FBA06F6"/>
    <w:rsid w:val="50035120"/>
    <w:rsid w:val="509B4084"/>
    <w:rsid w:val="50BB2978"/>
    <w:rsid w:val="51402E7D"/>
    <w:rsid w:val="51954F77"/>
    <w:rsid w:val="52271947"/>
    <w:rsid w:val="527728CF"/>
    <w:rsid w:val="52DE63AD"/>
    <w:rsid w:val="530A3743"/>
    <w:rsid w:val="54240834"/>
    <w:rsid w:val="54413194"/>
    <w:rsid w:val="54A656ED"/>
    <w:rsid w:val="565C42B5"/>
    <w:rsid w:val="566E3FE9"/>
    <w:rsid w:val="567401C8"/>
    <w:rsid w:val="56CB4F97"/>
    <w:rsid w:val="56F02C50"/>
    <w:rsid w:val="571F7091"/>
    <w:rsid w:val="57375D80"/>
    <w:rsid w:val="5A0A227A"/>
    <w:rsid w:val="5B484E08"/>
    <w:rsid w:val="5B7703E6"/>
    <w:rsid w:val="5C1D0043"/>
    <w:rsid w:val="5CF60894"/>
    <w:rsid w:val="5D331AE8"/>
    <w:rsid w:val="5D447851"/>
    <w:rsid w:val="5D850596"/>
    <w:rsid w:val="5EBDF1E5"/>
    <w:rsid w:val="5FD56E87"/>
    <w:rsid w:val="5FD9521E"/>
    <w:rsid w:val="6042451C"/>
    <w:rsid w:val="60C72C73"/>
    <w:rsid w:val="60CF38D6"/>
    <w:rsid w:val="60EF5D26"/>
    <w:rsid w:val="61DA0784"/>
    <w:rsid w:val="62D11B87"/>
    <w:rsid w:val="63715118"/>
    <w:rsid w:val="668A4527"/>
    <w:rsid w:val="66B3296E"/>
    <w:rsid w:val="675F07D3"/>
    <w:rsid w:val="67931B01"/>
    <w:rsid w:val="681A18DB"/>
    <w:rsid w:val="681D761D"/>
    <w:rsid w:val="68394457"/>
    <w:rsid w:val="68AE5D6E"/>
    <w:rsid w:val="68C27331"/>
    <w:rsid w:val="69731BEA"/>
    <w:rsid w:val="69FE3207"/>
    <w:rsid w:val="6A701C86"/>
    <w:rsid w:val="6B272C8C"/>
    <w:rsid w:val="6B4750DC"/>
    <w:rsid w:val="6B6F63E1"/>
    <w:rsid w:val="6C152AE5"/>
    <w:rsid w:val="6C79285C"/>
    <w:rsid w:val="6CD04C5E"/>
    <w:rsid w:val="6DC35CBF"/>
    <w:rsid w:val="6E531FEA"/>
    <w:rsid w:val="6F0D3F47"/>
    <w:rsid w:val="6F83245B"/>
    <w:rsid w:val="6FB645DF"/>
    <w:rsid w:val="6FE56C72"/>
    <w:rsid w:val="72600832"/>
    <w:rsid w:val="727B1B10"/>
    <w:rsid w:val="73005B71"/>
    <w:rsid w:val="7366631C"/>
    <w:rsid w:val="74393A30"/>
    <w:rsid w:val="74744A68"/>
    <w:rsid w:val="747D56CB"/>
    <w:rsid w:val="74AA048A"/>
    <w:rsid w:val="75330480"/>
    <w:rsid w:val="759E1D9D"/>
    <w:rsid w:val="75E17EDC"/>
    <w:rsid w:val="76A038F3"/>
    <w:rsid w:val="780954C8"/>
    <w:rsid w:val="782B18E2"/>
    <w:rsid w:val="78A3591C"/>
    <w:rsid w:val="78BB0EB8"/>
    <w:rsid w:val="79A436FA"/>
    <w:rsid w:val="79BC0A44"/>
    <w:rsid w:val="7A421904"/>
    <w:rsid w:val="7AFD7566"/>
    <w:rsid w:val="7B087CB8"/>
    <w:rsid w:val="7C4F208D"/>
    <w:rsid w:val="7D3B25C7"/>
    <w:rsid w:val="7ECB1B7B"/>
    <w:rsid w:val="7EE12CFA"/>
    <w:rsid w:val="7F0D1D41"/>
    <w:rsid w:val="7F4F4108"/>
    <w:rsid w:val="7F5C05D3"/>
    <w:rsid w:val="7FBE4DEA"/>
    <w:rsid w:val="EFB71A22"/>
    <w:rsid w:val="EFF90B43"/>
    <w:rsid w:val="FFD3B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12"/>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楷体_GB2312"/>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qFormat/>
    <w:uiPriority w:val="0"/>
    <w:pPr>
      <w:spacing w:line="560" w:lineRule="exact"/>
      <w:ind w:firstLine="630" w:firstLineChars="200"/>
      <w:jc w:val="both"/>
    </w:pPr>
    <w:rPr>
      <w:rFonts w:ascii="仿宋_GB2312" w:hAnsi="仿宋_GB2312" w:eastAsia="仿宋_GB2312" w:cs="仿宋_GB2312"/>
      <w:spacing w:val="-6"/>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章标题"/>
    <w:next w:val="1"/>
    <w:qFormat/>
    <w:uiPriority w:val="0"/>
    <w:pPr>
      <w:widowControl w:val="0"/>
      <w:spacing w:line="560" w:lineRule="exact"/>
      <w:jc w:val="center"/>
      <w:outlineLvl w:val="0"/>
    </w:pPr>
    <w:rPr>
      <w:rFonts w:ascii="黑体" w:hAnsi="黑体" w:eastAsia="黑体" w:cs="黑体"/>
      <w:bCs/>
      <w:spacing w:val="-6"/>
      <w:kern w:val="44"/>
      <w:sz w:val="32"/>
      <w:szCs w:val="32"/>
      <w:lang w:bidi="ar-SA"/>
    </w:rPr>
  </w:style>
  <w:style w:type="character" w:customStyle="1" w:styleId="12">
    <w:name w:val="标题 2 Char"/>
    <w:link w:val="3"/>
    <w:qFormat/>
    <w:uiPriority w:val="0"/>
    <w:rPr>
      <w:rFonts w:ascii="楷体_GB2312" w:hAnsi="楷体_GB2312" w:eastAsia="楷体_GB2312" w:cs="楷体_GB231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5269</Words>
  <Characters>5459</Characters>
  <Lines>0</Lines>
  <Paragraphs>0</Paragraphs>
  <TotalTime>27</TotalTime>
  <ScaleCrop>false</ScaleCrop>
  <LinksUpToDate>false</LinksUpToDate>
  <CharactersWithSpaces>5638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2025-11-08T14:53:00Z</dcterms:created>
  <dc:creator>王晗</dc:creator>
  <cp:lastModifiedBy>sugon</cp:lastModifiedBy>
  <cp:lastPrinted>2025-11-09T14:43:00Z</cp:lastPrinted>
  <dcterms:modified xsi:type="dcterms:W3CDTF">2025-12-10T17:27:03Z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2F8349CCF4A8C738E73C3969FB668519_43</vt:lpwstr>
  </property>
  <property fmtid="{D5CDD505-2E9C-101B-9397-08002B2CF9AE}" pid="4" name="KSOTemplateDocerSaveRecord">
    <vt:lpwstr>eyJoZGlkIjoiYmRkNTFmYmYzM2UwNzE3MzJhNDE5ZTQwYjIzMTFlZjQiLCJ1c2VySWQiOiIxMTUyMjUyNDE4In0=</vt:lpwstr>
  </property>
</Properties>
</file>