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6621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default" w:ascii="黑体" w:hAnsi="黑体" w:eastAsia="黑体" w:cs="黑体"/>
          <w:b w:val="0"/>
          <w:bCs w:val="0"/>
          <w:i w:val="0"/>
          <w:iCs w:val="0"/>
          <w:caps w:val="0"/>
          <w:color w:val="333333"/>
          <w:spacing w:val="0"/>
          <w:sz w:val="32"/>
          <w:szCs w:val="32"/>
          <w:shd w:val="clear" w:color="auto" w:fill="FFFFFF"/>
          <w:lang w:val="en-US" w:eastAsia="zh-CN"/>
        </w:rPr>
      </w:pPr>
      <w:r>
        <w:rPr>
          <w:rFonts w:hint="eastAsia" w:ascii="黑体" w:hAnsi="黑体" w:eastAsia="黑体" w:cs="黑体"/>
          <w:b w:val="0"/>
          <w:bCs w:val="0"/>
          <w:i w:val="0"/>
          <w:iCs w:val="0"/>
          <w:caps w:val="0"/>
          <w:color w:val="333333"/>
          <w:spacing w:val="0"/>
          <w:sz w:val="32"/>
          <w:szCs w:val="32"/>
          <w:shd w:val="clear" w:color="auto" w:fill="FFFFFF"/>
          <w:lang w:eastAsia="zh-CN"/>
        </w:rPr>
        <w:t>附件</w:t>
      </w:r>
      <w:r>
        <w:rPr>
          <w:rFonts w:hint="eastAsia" w:ascii="黑体" w:hAnsi="黑体" w:eastAsia="黑体" w:cs="黑体"/>
          <w:b w:val="0"/>
          <w:bCs w:val="0"/>
          <w:i w:val="0"/>
          <w:iCs w:val="0"/>
          <w:caps w:val="0"/>
          <w:color w:val="333333"/>
          <w:spacing w:val="0"/>
          <w:sz w:val="32"/>
          <w:szCs w:val="32"/>
          <w:shd w:val="clear" w:color="auto" w:fill="FFFFFF"/>
          <w:lang w:val="en-US" w:eastAsia="zh-CN"/>
        </w:rPr>
        <w:t>2</w:t>
      </w:r>
      <w:bookmarkStart w:id="0" w:name="_GoBack"/>
      <w:bookmarkEnd w:id="0"/>
    </w:p>
    <w:p w14:paraId="43838CC4">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rPr>
      </w:pPr>
    </w:p>
    <w:p w14:paraId="7FE46E69">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《池州市老年人能力评估实施办法（试行）（征求意见稿）》起草说明</w:t>
      </w:r>
    </w:p>
    <w:p w14:paraId="75EA0E9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14:paraId="043D6FD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为规范我市老年人能力评估工作，按照《安徽省人民政府办公厅关于印发安徽省推进基本养老服务体系建设实施方案的通知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皖政办〔2022〕15号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与</w:t>
      </w:r>
      <w:r>
        <w:rPr>
          <w:rFonts w:hint="eastAsia" w:ascii="仿宋_GB2312" w:hAnsi="仿宋_GB2312" w:eastAsia="仿宋_GB2312" w:cs="仿宋_GB2312"/>
          <w:sz w:val="32"/>
          <w:szCs w:val="32"/>
          <w:lang w:eastAsia="zh-CN"/>
        </w:rPr>
        <w:t>《池州市人民政府办公室关于</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印发池州市推进基本养老服务体系建设实施方案的通知》（池政办〔2023〕16号）</w:t>
      </w:r>
      <w:r>
        <w:rPr>
          <w:rFonts w:hint="eastAsia" w:ascii="仿宋_GB2312" w:hAnsi="仿宋_GB2312" w:eastAsia="仿宋_GB2312" w:cs="仿宋_GB2312"/>
          <w:sz w:val="32"/>
          <w:szCs w:val="32"/>
        </w:rPr>
        <w:t>相关</w:t>
      </w:r>
      <w:r>
        <w:rPr>
          <w:rFonts w:hint="eastAsia" w:ascii="仿宋_GB2312" w:hAnsi="仿宋_GB2312" w:eastAsia="仿宋_GB2312" w:cs="仿宋_GB2312"/>
          <w:sz w:val="32"/>
          <w:szCs w:val="32"/>
          <w:lang w:val="en-US" w:eastAsia="zh-CN"/>
        </w:rPr>
        <w:t>文件</w:t>
      </w:r>
      <w:r>
        <w:rPr>
          <w:rFonts w:hint="eastAsia" w:ascii="仿宋_GB2312" w:hAnsi="仿宋_GB2312" w:eastAsia="仿宋_GB2312" w:cs="仿宋_GB2312"/>
          <w:sz w:val="32"/>
          <w:szCs w:val="32"/>
        </w:rPr>
        <w:t>要求，根据《老年人能力评估规范》（GB/T42195—2022）规定，结合我市实际，起草了《</w:t>
      </w:r>
      <w:r>
        <w:rPr>
          <w:rFonts w:hint="eastAsia" w:ascii="仿宋_GB2312" w:hAnsi="仿宋_GB2312" w:eastAsia="仿宋_GB2312" w:cs="仿宋_GB2312"/>
          <w:sz w:val="32"/>
          <w:szCs w:val="32"/>
          <w:lang w:val="en-US" w:eastAsia="zh-CN"/>
        </w:rPr>
        <w:t>池州</w:t>
      </w:r>
      <w:r>
        <w:rPr>
          <w:rFonts w:hint="eastAsia" w:ascii="仿宋_GB2312" w:hAnsi="仿宋_GB2312" w:eastAsia="仿宋_GB2312" w:cs="仿宋_GB2312"/>
          <w:sz w:val="32"/>
          <w:szCs w:val="32"/>
        </w:rPr>
        <w:t>市老年人能力评估实施办法（试行）（征求意见稿）》。现将起草情况说明如下：</w:t>
      </w:r>
    </w:p>
    <w:p w14:paraId="64190A3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rPr>
        <w:t>一、</w:t>
      </w:r>
      <w:r>
        <w:rPr>
          <w:rFonts w:hint="eastAsia" w:ascii="黑体" w:hAnsi="黑体" w:eastAsia="黑体" w:cs="黑体"/>
          <w:sz w:val="32"/>
          <w:szCs w:val="32"/>
          <w:lang w:val="en-US" w:eastAsia="zh-CN"/>
        </w:rPr>
        <w:t>制定背景</w:t>
      </w:r>
    </w:p>
    <w:p w14:paraId="5205E51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人口老龄化程度不断加深，老年人对多样化、专业化养老服务的需求日益增长。科学评估老年人能力状况，是精准对接服务需求、合理配置服务资源、有效实施政策保障的前提和基础。近年来，国家层面陆续出台《老年人能力评估规范》（GB/T 42195-2022）等标准，对评估工作提出了新的统一要求。我市原执行的《池州市老年人能力评估实施办法》（池民福〔2019〕118号）已不能完全适应新形势、新标准的需要。因此，有必要结合本市实际，制定新的《实施办法》，以贯彻落实国家最新标准，完善我市老年人能力评估工作体系，提升评估工作的科学性、规范性和公信力，为各项养老服务政策公平、精准实施提供有力支撑。</w:t>
      </w:r>
    </w:p>
    <w:p w14:paraId="5B28513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二、起草依据</w:t>
      </w:r>
    </w:p>
    <w:p w14:paraId="5C938E2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000000"/>
          <w:kern w:val="2"/>
          <w:sz w:val="32"/>
          <w:szCs w:val="32"/>
          <w:lang w:eastAsia="zh-CN" w:bidi="ar-SA"/>
        </w:rPr>
      </w:pPr>
      <w:r>
        <w:rPr>
          <w:rFonts w:hint="eastAsia" w:ascii="仿宋" w:hAnsi="仿宋" w:eastAsia="仿宋" w:cs="仿宋"/>
          <w:color w:val="000000"/>
          <w:kern w:val="2"/>
          <w:sz w:val="32"/>
          <w:szCs w:val="32"/>
          <w:lang w:eastAsia="zh-CN" w:bidi="ar-SA"/>
        </w:rPr>
        <w:t>主要依据</w:t>
      </w:r>
      <w:r>
        <w:rPr>
          <w:rFonts w:hint="eastAsia" w:ascii="仿宋_GB2312" w:hAnsi="仿宋_GB2312" w:eastAsia="仿宋_GB2312" w:cs="仿宋_GB2312"/>
          <w:sz w:val="32"/>
          <w:szCs w:val="32"/>
        </w:rPr>
        <w:t>《安徽省人民政府办公厅关于印发安徽省推进基本养老服务体系建设实施方案的通知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皖政办〔2022〕15号</w:t>
      </w:r>
      <w:r>
        <w:rPr>
          <w:rFonts w:hint="eastAsia" w:ascii="仿宋_GB2312" w:hAnsi="仿宋_GB2312" w:eastAsia="仿宋_GB2312" w:cs="仿宋_GB2312"/>
          <w:sz w:val="32"/>
          <w:szCs w:val="32"/>
          <w:lang w:eastAsia="zh-CN"/>
        </w:rPr>
        <w:t>）、《池州市人民政府办公室关于</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印发池州市推进基本养老服务体系建设实施方案的通知》（池政办〔2023〕16号）、《</w:t>
      </w:r>
      <w:r>
        <w:rPr>
          <w:rFonts w:hint="eastAsia" w:ascii="仿宋_GB2312" w:hAnsi="仿宋_GB2312" w:eastAsia="仿宋_GB2312" w:cs="仿宋_GB2312"/>
          <w:sz w:val="32"/>
          <w:szCs w:val="32"/>
        </w:rPr>
        <w:t>老年人能力评估规范》（GB/T 42195-2022）</w:t>
      </w:r>
      <w:r>
        <w:rPr>
          <w:rFonts w:hint="eastAsia" w:ascii="仿宋" w:hAnsi="仿宋" w:eastAsia="仿宋" w:cs="仿宋"/>
          <w:color w:val="000000"/>
          <w:kern w:val="2"/>
          <w:sz w:val="32"/>
          <w:szCs w:val="32"/>
          <w:lang w:eastAsia="zh-CN" w:bidi="ar-SA"/>
        </w:rPr>
        <w:t>等有关文件要求和规定。</w:t>
      </w:r>
    </w:p>
    <w:p w14:paraId="35E796D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w:t>
      </w:r>
      <w:r>
        <w:rPr>
          <w:rFonts w:hint="eastAsia" w:ascii="黑体" w:hAnsi="黑体" w:eastAsia="黑体" w:cs="黑体"/>
          <w:sz w:val="32"/>
          <w:szCs w:val="32"/>
          <w:lang w:val="en-US" w:eastAsia="zh-CN"/>
        </w:rPr>
        <w:t>起草过程与</w:t>
      </w:r>
      <w:r>
        <w:rPr>
          <w:rFonts w:hint="eastAsia" w:ascii="黑体" w:hAnsi="黑体" w:eastAsia="黑体" w:cs="黑体"/>
          <w:sz w:val="32"/>
          <w:szCs w:val="32"/>
        </w:rPr>
        <w:t>主要内容</w:t>
      </w:r>
    </w:p>
    <w:p w14:paraId="1D5C530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起草过程：市民政局在总结以往评估工作经验的基础上，对照国家新标准，参考借鉴其他地区先进做法，结合我市养老服务发展实际，形成了《实施办法》征求意见稿。起草过程中，注重与相关部门的沟通协调，并初步征求了部分基层单位和专家意见。</w:t>
      </w:r>
    </w:p>
    <w:p w14:paraId="08D77A4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二）主要内容</w:t>
      </w:r>
    </w:p>
    <w:p w14:paraId="3FFE978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《办法》共</w:t>
      </w:r>
      <w:r>
        <w:rPr>
          <w:rFonts w:hint="eastAsia" w:ascii="仿宋_GB2312" w:hAnsi="仿宋_GB2312" w:eastAsia="仿宋_GB2312" w:cs="仿宋_GB2312"/>
          <w:sz w:val="32"/>
          <w:szCs w:val="32"/>
          <w:lang w:val="en-US" w:eastAsia="zh-CN"/>
        </w:rPr>
        <w:t>分六</w:t>
      </w:r>
      <w:r>
        <w:rPr>
          <w:rFonts w:hint="eastAsia" w:ascii="仿宋_GB2312" w:hAnsi="仿宋_GB2312" w:eastAsia="仿宋_GB2312" w:cs="仿宋_GB2312"/>
          <w:sz w:val="32"/>
          <w:szCs w:val="32"/>
        </w:rPr>
        <w:t>章</w:t>
      </w:r>
      <w:r>
        <w:rPr>
          <w:rFonts w:hint="eastAsia" w:ascii="仿宋_GB2312" w:hAnsi="仿宋_GB2312" w:eastAsia="仿宋_GB2312" w:cs="仿宋_GB2312"/>
          <w:sz w:val="32"/>
          <w:szCs w:val="32"/>
          <w:lang w:val="en-US" w:eastAsia="zh-CN"/>
        </w:rPr>
        <w:t>节，</w:t>
      </w:r>
      <w:r>
        <w:rPr>
          <w:rFonts w:hint="eastAsia" w:ascii="仿宋_GB2312" w:hAnsi="仿宋_GB2312" w:eastAsia="仿宋_GB2312" w:cs="仿宋_GB2312"/>
          <w:sz w:val="32"/>
          <w:szCs w:val="32"/>
        </w:rPr>
        <w:t>二十七条，主要包括：</w:t>
      </w:r>
      <w:r>
        <w:rPr>
          <w:rFonts w:hint="eastAsia" w:ascii="仿宋_GB2312" w:hAnsi="仿宋_GB2312" w:eastAsia="仿宋_GB2312" w:cs="仿宋_GB2312"/>
          <w:sz w:val="32"/>
          <w:szCs w:val="32"/>
          <w:lang w:val="en-US" w:eastAsia="zh-CN"/>
        </w:rPr>
        <w:t>总则、评估对象与内容、评估机构与人员、评估程序、结果应用与管理监督以及附则等方面。</w:t>
      </w:r>
    </w:p>
    <w:p w14:paraId="188FF4A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1、第一部分为</w:t>
      </w:r>
      <w:r>
        <w:rPr>
          <w:rFonts w:hint="eastAsia" w:ascii="仿宋_GB2312" w:hAnsi="仿宋_GB2312" w:eastAsia="仿宋_GB2312" w:cs="仿宋_GB2312"/>
          <w:sz w:val="32"/>
          <w:szCs w:val="32"/>
        </w:rPr>
        <w:t>总则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明确了制定目的、依据、评估定义以及自愿申请、客观公正、科学规范、保护隐私四项基本原则。</w:t>
      </w:r>
    </w:p>
    <w:p w14:paraId="23E2024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2、第二部分为</w:t>
      </w:r>
      <w:r>
        <w:rPr>
          <w:rFonts w:hint="eastAsia" w:ascii="仿宋_GB2312" w:hAnsi="仿宋_GB2312" w:eastAsia="仿宋_GB2312" w:cs="仿宋_GB2312"/>
          <w:sz w:val="32"/>
          <w:szCs w:val="32"/>
        </w:rPr>
        <w:t>评估对象与内容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明确了四类评估对象，并规定评估内容严格依照《老年人能力评估规范》（GB/T 42195-2022）国家标准的四个一级指标（日常生活活动、精神状态、感知觉与沟通、社会参与）执行。</w:t>
      </w:r>
    </w:p>
    <w:p w14:paraId="7664020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3、第三部分为</w:t>
      </w:r>
      <w:r>
        <w:rPr>
          <w:rFonts w:hint="eastAsia" w:ascii="仿宋_GB2312" w:hAnsi="仿宋_GB2312" w:eastAsia="仿宋_GB2312" w:cs="仿宋_GB2312"/>
          <w:sz w:val="32"/>
          <w:szCs w:val="32"/>
        </w:rPr>
        <w:t>评估机构与人员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明确了市、县（区）民政部门、财政部门的职责，以及街道（乡镇）的受理核查职责。规定了评估机构的准入条件，强调评估机构不得同时承担依本机构评估结论而开展的养老服务工作，以保障评估独立性。对评估人员（评估师）的专业背景、资质要求、行为规范等作出了具体规定。</w:t>
      </w:r>
    </w:p>
    <w:p w14:paraId="150EB6D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4、第四部分为</w:t>
      </w:r>
      <w:r>
        <w:rPr>
          <w:rFonts w:hint="eastAsia" w:ascii="仿宋_GB2312" w:hAnsi="仿宋_GB2312" w:eastAsia="仿宋_GB2312" w:cs="仿宋_GB2312"/>
          <w:sz w:val="32"/>
          <w:szCs w:val="32"/>
        </w:rPr>
        <w:t>评估程序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规范了从申请受理、组织实施（包括人员、环境、现场评估、信息复核）、结果确认与公示、复核申诉到档案管理的全流程。明确了工作时限，如受理后30个工作日内完成评估、评估结束后5个工作日内出具报告、公示期为5个工作日等。</w:t>
      </w:r>
    </w:p>
    <w:p w14:paraId="7C8E53D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5、第五部分为</w:t>
      </w:r>
      <w:r>
        <w:rPr>
          <w:rFonts w:hint="eastAsia" w:ascii="仿宋_GB2312" w:hAnsi="仿宋_GB2312" w:eastAsia="仿宋_GB2312" w:cs="仿宋_GB2312"/>
          <w:sz w:val="32"/>
          <w:szCs w:val="32"/>
        </w:rPr>
        <w:t>结果应用与管理监督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明确了评估结果分为五个等级，作为享受相关补贴、服务及机构奖补的依据。规定评估结果有效期一般为一年，并建立了动态调整机制。明确了不同情形下评估费用的承担主体。从内部管理、信息公开、抽查审查、保密义务、违规处理等方面强化了监督管理，明确了评估机构、评估人员、评估对象及相关部门的责任。</w:t>
      </w:r>
    </w:p>
    <w:p w14:paraId="0344A2B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6、第六部分为</w:t>
      </w:r>
      <w:r>
        <w:rPr>
          <w:rFonts w:hint="eastAsia" w:ascii="仿宋_GB2312" w:hAnsi="仿宋_GB2312" w:eastAsia="仿宋_GB2312" w:cs="仿宋_GB2312"/>
          <w:sz w:val="32"/>
          <w:szCs w:val="32"/>
        </w:rPr>
        <w:t>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规定了本办法的解释权和施行日期，同时废止原《池州市老年人能力评估实施办法》（池民福〔2019〕118号）。</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00"/>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3B860">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A8E0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0A8E0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FF3450"/>
    <w:rsid w:val="71FF3450"/>
    <w:rsid w:val="D0DB92B4"/>
    <w:rsid w:val="FEFE9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next w:val="1"/>
    <w:qFormat/>
    <w:uiPriority w:val="99"/>
    <w:pPr>
      <w:widowControl w:val="0"/>
      <w:jc w:val="both"/>
    </w:pPr>
    <w:rPr>
      <w:rFonts w:ascii="Calibri" w:hAnsi="Calibri" w:eastAsia="宋体" w:cs="Times New Roman"/>
      <w:kern w:val="2"/>
      <w:sz w:val="21"/>
      <w:szCs w:val="24"/>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2025-12-10T19:20:00Z</dcterms:created>
  <dc:creator>小草莓</dc:creator>
  <cp:lastModifiedBy>sugon</cp:lastModifiedBy>
  <dcterms:modified xsi:type="dcterms:W3CDTF">2025-12-10T17:34:30Z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890A104A3E65B94EA63E39695D3CD93B_43</vt:lpwstr>
  </property>
</Properties>
</file>