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CACD8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default" w:ascii="黑体" w:hAnsi="黑体" w:eastAsia="黑体" w:cs="黑体"/>
          <w:b w:val="0"/>
          <w:bCs w:val="0"/>
          <w:i w:val="0"/>
          <w:iCs w:val="0"/>
          <w:caps w:val="0"/>
          <w:color w:val="333333"/>
          <w:spacing w:val="0"/>
          <w:sz w:val="32"/>
          <w:szCs w:val="32"/>
          <w:shd w:val="clear" w:color="auto" w:fill="FFFFFF"/>
          <w:lang w:val="en-US" w:eastAsia="zh-CN"/>
        </w:rPr>
      </w:pPr>
      <w:r>
        <w:rPr>
          <w:rFonts w:hint="eastAsia" w:ascii="黑体" w:hAnsi="黑体" w:eastAsia="黑体" w:cs="黑体"/>
          <w:b w:val="0"/>
          <w:bCs w:val="0"/>
          <w:i w:val="0"/>
          <w:iCs w:val="0"/>
          <w:caps w:val="0"/>
          <w:color w:val="333333"/>
          <w:spacing w:val="0"/>
          <w:sz w:val="32"/>
          <w:szCs w:val="32"/>
          <w:shd w:val="clear" w:color="auto" w:fill="FFFFFF"/>
          <w:lang w:val="en-US" w:eastAsia="zh-CN"/>
        </w:rPr>
        <w:t>附件1</w:t>
      </w:r>
    </w:p>
    <w:p w14:paraId="2FFBE4E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黑体" w:hAnsi="黑体" w:eastAsia="黑体" w:cs="黑体"/>
          <w:b w:val="0"/>
          <w:bCs w:val="0"/>
          <w:i w:val="0"/>
          <w:iCs w:val="0"/>
          <w:caps w:val="0"/>
          <w:color w:val="333333"/>
          <w:spacing w:val="0"/>
          <w:sz w:val="32"/>
          <w:szCs w:val="32"/>
          <w:shd w:val="clear" w:color="auto" w:fill="FFFFFF"/>
          <w:lang w:val="en-US" w:eastAsia="zh-CN"/>
        </w:rPr>
      </w:pPr>
    </w:p>
    <w:p w14:paraId="31B5FB78">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池州市居家养老上门服务标准和监督管理办法（试行）</w:t>
      </w:r>
    </w:p>
    <w:p w14:paraId="6D97A3D6">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（征求意见稿）</w:t>
      </w:r>
    </w:p>
    <w:p w14:paraId="5BD76588">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sz w:val="32"/>
          <w:szCs w:val="32"/>
          <w:lang w:val="en-US" w:eastAsia="zh-CN"/>
        </w:rPr>
      </w:pPr>
    </w:p>
    <w:p w14:paraId="134337DF">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textAlignment w:val="auto"/>
        <w:rPr>
          <w:rFonts w:hint="default" w:ascii="仿宋_GB2312" w:hAnsi="仿宋_GB2312" w:eastAsia="仿宋_GB2312" w:cs="仿宋_GB2312"/>
          <w:sz w:val="32"/>
          <w:szCs w:val="32"/>
          <w:lang w:val="en-US" w:eastAsia="zh-CN"/>
        </w:rPr>
      </w:pPr>
      <w:r>
        <w:rPr>
          <w:rFonts w:hint="eastAsia" w:ascii="黑体" w:hAnsi="黑体" w:eastAsia="黑体" w:cs="黑体"/>
          <w:sz w:val="32"/>
          <w:szCs w:val="32"/>
          <w:lang w:val="en-US" w:eastAsia="zh-CN"/>
        </w:rPr>
        <w:t>第一章 总则</w:t>
      </w:r>
    </w:p>
    <w:p w14:paraId="573FB9E3">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黑体" w:hAnsi="黑体" w:eastAsia="黑体" w:cs="黑体"/>
          <w:sz w:val="32"/>
          <w:szCs w:val="32"/>
          <w:lang w:val="en-US" w:eastAsia="zh-CN"/>
        </w:rPr>
        <w:t xml:space="preserve">第一条 </w:t>
      </w:r>
      <w:r>
        <w:rPr>
          <w:rFonts w:hint="eastAsia" w:ascii="仿宋_GB2312" w:hAnsi="仿宋_GB2312" w:eastAsia="仿宋_GB2312" w:cs="仿宋_GB2312"/>
          <w:sz w:val="32"/>
          <w:szCs w:val="32"/>
          <w:lang w:val="en-US" w:eastAsia="zh-CN"/>
        </w:rPr>
        <w:t>为进一步规范池州市居家养老上门服务与管理标准，根据《居家养老上门服务基本规范》（GB/T 43153-2023）、《安徽省养老服务条例》等有关规定，结合本市实际，制定本管理办法（试行）。</w:t>
      </w:r>
    </w:p>
    <w:p w14:paraId="61797FB1">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黑体" w:hAnsi="黑体" w:eastAsia="黑体" w:cs="黑体"/>
          <w:sz w:val="32"/>
          <w:szCs w:val="32"/>
          <w:lang w:val="en-US" w:eastAsia="zh-CN"/>
        </w:rPr>
        <w:t xml:space="preserve">第二条 </w:t>
      </w:r>
      <w:r>
        <w:rPr>
          <w:rFonts w:hint="eastAsia" w:ascii="仿宋_GB2312" w:hAnsi="仿宋_GB2312" w:eastAsia="仿宋_GB2312" w:cs="仿宋_GB2312"/>
          <w:sz w:val="32"/>
          <w:szCs w:val="32"/>
          <w:lang w:val="en-US" w:eastAsia="zh-CN"/>
        </w:rPr>
        <w:t>本办法适用于池州市行政区域内，经市、县（区）民政部门招标确定，为本辖区60周岁及以上老年人提供居家养老上门服务的机构、组织(以下简称“服务机构”)、服务人员，以及接受上门服务的老年人(以下简称“服务对象”)和相关监管活动。</w:t>
      </w:r>
    </w:p>
    <w:p w14:paraId="6231AA27">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黑体" w:hAnsi="黑体" w:eastAsia="黑体" w:cs="黑体"/>
          <w:b w:val="0"/>
          <w:bCs w:val="0"/>
          <w:sz w:val="32"/>
          <w:szCs w:val="32"/>
          <w:lang w:val="en-US" w:eastAsia="zh-CN"/>
        </w:rPr>
        <w:t xml:space="preserve">第三条 </w:t>
      </w:r>
      <w:r>
        <w:rPr>
          <w:rFonts w:hint="eastAsia" w:ascii="仿宋_GB2312" w:hAnsi="仿宋_GB2312" w:eastAsia="仿宋_GB2312" w:cs="仿宋_GB2312"/>
          <w:sz w:val="32"/>
          <w:szCs w:val="32"/>
          <w:lang w:val="en-US" w:eastAsia="zh-CN"/>
        </w:rPr>
        <w:t>居家养老上门服务依托池州市智慧养老大数据平台进行综合监管，实现服务申请、派单、执行、评价、结算等环节信息化管理。监管工作遵循公开、公平、公正的原则，监管结果作为居家养老上门服务机构上门服务经费结算及行业评优的依据。</w:t>
      </w:r>
    </w:p>
    <w:p w14:paraId="7D776BE1">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textAlignment w:val="auto"/>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第二章 服务标准</w:t>
      </w:r>
    </w:p>
    <w:p w14:paraId="74BC296F">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第四条 服务内容分类</w:t>
      </w:r>
    </w:p>
    <w:p w14:paraId="475C8D07">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上门服务主要包括以下类别，服务机构可根据老年人需求精准匹配:</w:t>
      </w:r>
    </w:p>
    <w:p w14:paraId="3C02C155">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default"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1.生活照料服务:</w:t>
      </w:r>
      <w:r>
        <w:rPr>
          <w:rFonts w:hint="eastAsia" w:ascii="仿宋_GB2312" w:hAnsi="仿宋_GB2312" w:eastAsia="仿宋_GB2312" w:cs="仿宋_GB2312"/>
          <w:sz w:val="32"/>
          <w:szCs w:val="32"/>
          <w:lang w:val="en-US" w:eastAsia="zh-CN"/>
        </w:rPr>
        <w:t>包括但不限于：助餐（协助订餐、上门送餐）、助浴（上门助浴、协助前往老年人助浴点进行身体清洁）、助洁（洗漱、理发、剃须、剪指（趾）甲等身体助洁、居家清洁、衣物洗涤、物品整理等普通助洁）、助行（协助行走、陪同外出）、助医（陪同就医、治疗陪伴）、助急（紧急呼叫受理、紧急转介）。</w:t>
      </w:r>
    </w:p>
    <w:p w14:paraId="0C88B799">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3" w:firstLineChars="200"/>
        <w:jc w:val="both"/>
        <w:textAlignment w:val="auto"/>
        <w:rPr>
          <w:rFonts w:hint="default"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2.基础照护服务。</w:t>
      </w:r>
      <w:r>
        <w:rPr>
          <w:rFonts w:hint="eastAsia" w:ascii="仿宋_GB2312" w:hAnsi="仿宋_GB2312" w:eastAsia="仿宋_GB2312" w:cs="仿宋_GB2312"/>
          <w:sz w:val="32"/>
          <w:szCs w:val="32"/>
          <w:lang w:val="en-US" w:eastAsia="zh-CN"/>
        </w:rPr>
        <w:t>包括但不限于：生活照护（协助穿（脱）衣、饮食照护、睡眠照护）、排泄护理（排尿护理、排便护理、排气护理）、护理（为老年人进行保暖和物理降温，协助和指导翻身、拍背、褥疮预防）、用药（用药提醒、用药指导及不良反应观察）、康复护理（康复评估、计划制定、康复训练指导、康复辅助器具使用）。</w:t>
      </w:r>
    </w:p>
    <w:p w14:paraId="3AC35EEB">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3" w:firstLineChars="200"/>
        <w:jc w:val="both"/>
        <w:textAlignment w:val="auto"/>
        <w:rPr>
          <w:rFonts w:hint="default" w:ascii="仿宋_GB2312" w:hAnsi="仿宋_GB2312" w:eastAsia="仿宋_GB2312" w:cs="仿宋_GB2312"/>
          <w:sz w:val="32"/>
          <w:szCs w:val="32"/>
          <w:lang w:val="en-US" w:eastAsia="zh-CN"/>
        </w:rPr>
      </w:pPr>
      <w:r>
        <w:rPr>
          <w:rFonts w:hint="eastAsia" w:ascii="楷体_GB2312" w:hAnsi="楷体_GB2312" w:eastAsia="楷体_GB2312" w:cs="楷体_GB2312"/>
          <w:b/>
          <w:bCs/>
          <w:kern w:val="2"/>
          <w:sz w:val="32"/>
          <w:szCs w:val="32"/>
          <w:lang w:val="en-US" w:eastAsia="zh-CN" w:bidi="ar-SA"/>
        </w:rPr>
        <w:t>（三）</w:t>
      </w:r>
      <w:r>
        <w:rPr>
          <w:rFonts w:hint="eastAsia" w:ascii="楷体_GB2312" w:hAnsi="楷体_GB2312" w:eastAsia="楷体_GB2312" w:cs="楷体_GB2312"/>
          <w:b/>
          <w:bCs/>
          <w:sz w:val="32"/>
          <w:szCs w:val="32"/>
          <w:lang w:val="en-US" w:eastAsia="zh-CN"/>
        </w:rPr>
        <w:t>健康管理服务。</w:t>
      </w:r>
      <w:r>
        <w:rPr>
          <w:rFonts w:hint="eastAsia" w:ascii="仿宋_GB2312" w:hAnsi="仿宋_GB2312" w:eastAsia="仿宋_GB2312" w:cs="仿宋_GB2312"/>
          <w:sz w:val="32"/>
          <w:szCs w:val="32"/>
          <w:lang w:val="en-US" w:eastAsia="zh-CN"/>
        </w:rPr>
        <w:t>包括但不限于：信息采集（老年人体检信息、既往疾病史等健康信息采集，建立老年人健康档案）、健康监测（对老年人的体温、体重、血压、呼吸、心率、血糖等进行常规生理指数监测）、健康咨询（为老年人提供防跌倒、疾病预防、膳食营养、康复保健等的指导）、</w:t>
      </w:r>
    </w:p>
    <w:p w14:paraId="2BD3A5F9">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健康干预（制定服务方案，为老年人的生活起居、慢病调理等提供干预服务）。</w:t>
      </w:r>
    </w:p>
    <w:p w14:paraId="154C1F0D">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3" w:firstLineChars="200"/>
        <w:jc w:val="both"/>
        <w:textAlignment w:val="auto"/>
        <w:rPr>
          <w:rFonts w:hint="default" w:ascii="仿宋_GB2312" w:hAnsi="仿宋_GB2312" w:eastAsia="仿宋_GB2312" w:cs="仿宋_GB2312"/>
          <w:sz w:val="32"/>
          <w:szCs w:val="32"/>
          <w:lang w:val="en-US" w:eastAsia="zh-CN"/>
        </w:rPr>
      </w:pPr>
      <w:r>
        <w:rPr>
          <w:rFonts w:hint="eastAsia" w:ascii="楷体_GB2312" w:hAnsi="楷体_GB2312" w:eastAsia="楷体_GB2312" w:cs="楷体_GB2312"/>
          <w:b/>
          <w:bCs/>
          <w:kern w:val="2"/>
          <w:sz w:val="32"/>
          <w:szCs w:val="32"/>
          <w:lang w:val="en-US" w:eastAsia="zh-CN" w:bidi="ar-SA"/>
        </w:rPr>
        <w:t>（四）</w:t>
      </w:r>
      <w:r>
        <w:rPr>
          <w:rFonts w:hint="eastAsia" w:ascii="楷体_GB2312" w:hAnsi="楷体_GB2312" w:eastAsia="楷体_GB2312" w:cs="楷体_GB2312"/>
          <w:b/>
          <w:bCs/>
          <w:sz w:val="32"/>
          <w:szCs w:val="32"/>
          <w:lang w:val="en-US" w:eastAsia="zh-CN"/>
        </w:rPr>
        <w:t>探访关爱服务。</w:t>
      </w:r>
      <w:r>
        <w:rPr>
          <w:rFonts w:hint="eastAsia" w:ascii="仿宋_GB2312" w:hAnsi="仿宋_GB2312" w:eastAsia="仿宋_GB2312" w:cs="仿宋_GB2312"/>
          <w:sz w:val="32"/>
          <w:szCs w:val="32"/>
          <w:lang w:val="en-US" w:eastAsia="zh-CN"/>
        </w:rPr>
        <w:t>包括但不限于：上门探访（了解掌握老年人的健康状况、精神状况、安全情况、卫生状况、居住环境、服务需求）、应急处置（接受与协助老年人的电话呼叫、紧急求助等）。</w:t>
      </w:r>
    </w:p>
    <w:p w14:paraId="5C174012">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3" w:firstLineChars="200"/>
        <w:jc w:val="both"/>
        <w:textAlignment w:val="auto"/>
        <w:rPr>
          <w:rFonts w:hint="default" w:ascii="仿宋_GB2312" w:hAnsi="仿宋_GB2312" w:eastAsia="仿宋_GB2312" w:cs="仿宋_GB2312"/>
          <w:sz w:val="32"/>
          <w:szCs w:val="32"/>
          <w:lang w:val="en-US" w:eastAsia="zh-CN"/>
        </w:rPr>
      </w:pPr>
      <w:r>
        <w:rPr>
          <w:rFonts w:hint="eastAsia" w:ascii="楷体_GB2312" w:hAnsi="楷体_GB2312" w:eastAsia="楷体_GB2312" w:cs="楷体_GB2312"/>
          <w:b/>
          <w:bCs/>
          <w:kern w:val="2"/>
          <w:sz w:val="32"/>
          <w:szCs w:val="32"/>
          <w:lang w:val="en-US" w:eastAsia="zh-CN" w:bidi="ar-SA"/>
        </w:rPr>
        <w:t>（五）</w:t>
      </w:r>
      <w:r>
        <w:rPr>
          <w:rFonts w:hint="eastAsia" w:ascii="楷体_GB2312" w:hAnsi="楷体_GB2312" w:eastAsia="楷体_GB2312" w:cs="楷体_GB2312"/>
          <w:b/>
          <w:bCs/>
          <w:sz w:val="32"/>
          <w:szCs w:val="32"/>
          <w:lang w:val="en-US" w:eastAsia="zh-CN"/>
        </w:rPr>
        <w:t>精神慰藉服务。</w:t>
      </w:r>
      <w:r>
        <w:rPr>
          <w:rFonts w:hint="eastAsia" w:ascii="仿宋_GB2312" w:hAnsi="仿宋_GB2312" w:eastAsia="仿宋_GB2312" w:cs="仿宋_GB2312"/>
          <w:sz w:val="32"/>
          <w:szCs w:val="32"/>
          <w:lang w:val="en-US" w:eastAsia="zh-CN"/>
        </w:rPr>
        <w:t>包括但不限于：陪伴支持（定期协助有意愿的老年人外出活动或前往服务机构参加集体活动）、情绪疏导（与老年人进行谈心、交流，耐心倾听老年人的诉说）、心理慰藉（通过心理健康教育、心理干预手段调整老年人心理状态）。</w:t>
      </w:r>
    </w:p>
    <w:p w14:paraId="5D89A066">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3" w:firstLineChars="200"/>
        <w:jc w:val="both"/>
        <w:textAlignment w:val="auto"/>
        <w:rPr>
          <w:rFonts w:hint="default" w:ascii="仿宋_GB2312" w:hAnsi="仿宋_GB2312" w:eastAsia="仿宋_GB2312" w:cs="仿宋_GB2312"/>
          <w:sz w:val="32"/>
          <w:szCs w:val="32"/>
          <w:lang w:val="en-US" w:eastAsia="zh-CN"/>
        </w:rPr>
      </w:pPr>
      <w:r>
        <w:rPr>
          <w:rFonts w:hint="eastAsia" w:ascii="楷体_GB2312" w:hAnsi="楷体_GB2312" w:eastAsia="楷体_GB2312" w:cs="楷体_GB2312"/>
          <w:b/>
          <w:bCs/>
          <w:kern w:val="2"/>
          <w:sz w:val="32"/>
          <w:szCs w:val="32"/>
          <w:lang w:val="en-US" w:eastAsia="zh-CN" w:bidi="ar-SA"/>
        </w:rPr>
        <w:t>（六）</w:t>
      </w:r>
      <w:r>
        <w:rPr>
          <w:rFonts w:hint="eastAsia" w:ascii="楷体_GB2312" w:hAnsi="楷体_GB2312" w:eastAsia="楷体_GB2312" w:cs="楷体_GB2312"/>
          <w:b/>
          <w:bCs/>
          <w:sz w:val="32"/>
          <w:szCs w:val="32"/>
          <w:lang w:val="en-US" w:eastAsia="zh-CN"/>
        </w:rPr>
        <w:t>委托代办服务。</w:t>
      </w:r>
      <w:r>
        <w:rPr>
          <w:rFonts w:hint="eastAsia" w:ascii="仿宋_GB2312" w:hAnsi="仿宋_GB2312" w:eastAsia="仿宋_GB2312" w:cs="仿宋_GB2312"/>
          <w:sz w:val="32"/>
          <w:szCs w:val="32"/>
          <w:lang w:val="en-US" w:eastAsia="zh-CN"/>
        </w:rPr>
        <w:t>包括但不限于：代购（购买日常生活用品、订车票、预约车辆）、代办（取送信函、文件和物品，申请法律援助、救助服务等）、代缴（缴纳水、电、气、通讯费等日常费用）。</w:t>
      </w:r>
    </w:p>
    <w:p w14:paraId="74655580">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3" w:firstLineChars="200"/>
        <w:jc w:val="both"/>
        <w:textAlignment w:val="auto"/>
        <w:rPr>
          <w:rFonts w:hint="default" w:ascii="仿宋_GB2312" w:hAnsi="仿宋_GB2312" w:eastAsia="仿宋_GB2312" w:cs="仿宋_GB2312"/>
          <w:sz w:val="32"/>
          <w:szCs w:val="32"/>
          <w:lang w:val="en-US" w:eastAsia="zh-CN"/>
        </w:rPr>
      </w:pPr>
      <w:r>
        <w:rPr>
          <w:rFonts w:hint="eastAsia" w:ascii="楷体_GB2312" w:hAnsi="楷体_GB2312" w:eastAsia="楷体_GB2312" w:cs="楷体_GB2312"/>
          <w:b/>
          <w:bCs/>
          <w:kern w:val="2"/>
          <w:sz w:val="32"/>
          <w:szCs w:val="32"/>
          <w:lang w:val="en-US" w:eastAsia="zh-CN" w:bidi="ar-SA"/>
        </w:rPr>
        <w:t>（七）</w:t>
      </w:r>
      <w:r>
        <w:rPr>
          <w:rFonts w:hint="eastAsia" w:ascii="楷体_GB2312" w:hAnsi="楷体_GB2312" w:eastAsia="楷体_GB2312" w:cs="楷体_GB2312"/>
          <w:b/>
          <w:bCs/>
          <w:sz w:val="32"/>
          <w:szCs w:val="32"/>
          <w:lang w:val="en-US" w:eastAsia="zh-CN"/>
        </w:rPr>
        <w:t>家庭生活环境适老化改造服务。</w:t>
      </w:r>
      <w:r>
        <w:rPr>
          <w:rFonts w:hint="eastAsia" w:ascii="仿宋_GB2312" w:hAnsi="仿宋_GB2312" w:eastAsia="仿宋_GB2312" w:cs="仿宋_GB2312"/>
          <w:sz w:val="32"/>
          <w:szCs w:val="32"/>
          <w:lang w:val="en-US" w:eastAsia="zh-CN"/>
        </w:rPr>
        <w:t>包括但不限于：环境评估（评估老年人家庭生活环境和改造需求，依据评估结果确定改造方案）、基础改造（包括防滑、防摔、防走失等物理环境改造及相关设备与用品配置）、专项改造（为满足不同老年人和不同居住环境要求的物理环境改造，以及健康监测、安防报警、远程控制等智能家居产品的配置安装和使用指导）</w:t>
      </w:r>
    </w:p>
    <w:p w14:paraId="3DC1C738">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第五条 服务基本要求</w:t>
      </w:r>
    </w:p>
    <w:p w14:paraId="21C0EE39">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630" w:leftChars="0"/>
        <w:jc w:val="both"/>
        <w:textAlignment w:val="auto"/>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（一）人员要求</w:t>
      </w:r>
    </w:p>
    <w:p w14:paraId="412FA369">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1.身体健康，取得健康合格证明后上岗。</w:t>
      </w:r>
    </w:p>
    <w:p w14:paraId="6C6C318E">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2.应熟悉有关居家养老服务的法律法规和基础知识。</w:t>
      </w:r>
    </w:p>
    <w:p w14:paraId="50805F0A">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3.应具备与老年人良好沟通的能力。</w:t>
      </w:r>
    </w:p>
    <w:p w14:paraId="326BA5C2">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4.应掌握基本的安全保护知识与应急处置方案。</w:t>
      </w:r>
    </w:p>
    <w:p w14:paraId="2D640ECF">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5.应尊重老年人的民族风俗、生活习惯和宗教信仰，保护老年人隐私。</w:t>
      </w:r>
    </w:p>
    <w:p w14:paraId="7A252E10">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6.评估人员和制定服务方案的人员应接受过相关业务培训。</w:t>
      </w:r>
    </w:p>
    <w:p w14:paraId="0DBF3373">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7.养老护理员、老年社会工作者等提供专业化居家养老上门服务的人员应取得相关资质或达到相关职业标准要求。</w:t>
      </w:r>
    </w:p>
    <w:p w14:paraId="73C43529">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（二）流程要求</w:t>
      </w:r>
    </w:p>
    <w:p w14:paraId="677B2ED8">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kern w:val="2"/>
          <w:sz w:val="32"/>
          <w:szCs w:val="32"/>
          <w:lang w:val="en-US" w:eastAsia="zh-CN" w:bidi="ar-SA"/>
        </w:rPr>
        <w:t>1.</w:t>
      </w:r>
      <w:r>
        <w:rPr>
          <w:rFonts w:hint="eastAsia" w:ascii="仿宋_GB2312" w:hAnsi="仿宋_GB2312" w:eastAsia="仿宋_GB2312" w:cs="仿宋_GB2312"/>
          <w:b w:val="0"/>
          <w:bCs w:val="0"/>
          <w:sz w:val="32"/>
          <w:szCs w:val="32"/>
          <w:lang w:val="en-US" w:eastAsia="zh-CN"/>
        </w:rPr>
        <w:t>咨询接待。</w:t>
      </w:r>
      <w:r>
        <w:rPr>
          <w:rFonts w:hint="eastAsia" w:ascii="仿宋_GB2312" w:hAnsi="仿宋_GB2312" w:eastAsia="仿宋_GB2312" w:cs="仿宋_GB2312"/>
          <w:sz w:val="32"/>
          <w:szCs w:val="32"/>
          <w:lang w:val="en-US" w:eastAsia="zh-CN"/>
        </w:rPr>
        <w:t>了解老年人及其监护人的基本需求，记录老年人的基本情况，介绍本组织提供的服务内容、服务方式、服务价格、后续服务等。无法提供某项服务时，服务组织可为老年人或监护人转介其他形式的养老服务。</w:t>
      </w:r>
    </w:p>
    <w:p w14:paraId="5B623887">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b w:val="0"/>
          <w:bCs w:val="0"/>
          <w:kern w:val="2"/>
          <w:sz w:val="32"/>
          <w:szCs w:val="32"/>
          <w:lang w:val="en-US" w:eastAsia="zh-CN" w:bidi="ar-SA"/>
        </w:rPr>
        <w:t>2.</w:t>
      </w:r>
      <w:r>
        <w:rPr>
          <w:rFonts w:hint="eastAsia" w:ascii="仿宋_GB2312" w:hAnsi="仿宋_GB2312" w:eastAsia="仿宋_GB2312" w:cs="仿宋_GB2312"/>
          <w:b w:val="0"/>
          <w:bCs w:val="0"/>
          <w:sz w:val="32"/>
          <w:szCs w:val="32"/>
          <w:lang w:val="en-US" w:eastAsia="zh-CN"/>
        </w:rPr>
        <w:t>老年人能力评估。</w:t>
      </w:r>
      <w:r>
        <w:rPr>
          <w:rFonts w:hint="eastAsia" w:ascii="仿宋_GB2312" w:hAnsi="仿宋_GB2312" w:eastAsia="仿宋_GB2312" w:cs="仿宋_GB2312"/>
          <w:sz w:val="32"/>
          <w:szCs w:val="32"/>
          <w:lang w:val="en-US" w:eastAsia="zh-CN"/>
        </w:rPr>
        <w:t>初步了解老年人或监护人的服务需求后，应按照GB/T42195对老年人进行能力评估。</w:t>
      </w:r>
    </w:p>
    <w:p w14:paraId="3E3046BC">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b w:val="0"/>
          <w:bCs w:val="0"/>
          <w:kern w:val="2"/>
          <w:sz w:val="32"/>
          <w:szCs w:val="32"/>
          <w:lang w:val="en-US" w:eastAsia="zh-CN" w:bidi="ar-SA"/>
        </w:rPr>
        <w:t>3.</w:t>
      </w:r>
      <w:r>
        <w:rPr>
          <w:rFonts w:hint="eastAsia" w:ascii="仿宋_GB2312" w:hAnsi="仿宋_GB2312" w:eastAsia="仿宋_GB2312" w:cs="仿宋_GB2312"/>
          <w:b w:val="0"/>
          <w:bCs w:val="0"/>
          <w:sz w:val="32"/>
          <w:szCs w:val="32"/>
          <w:lang w:val="en-US" w:eastAsia="zh-CN"/>
        </w:rPr>
        <w:t>签订服务协议。</w:t>
      </w:r>
      <w:r>
        <w:rPr>
          <w:rFonts w:hint="eastAsia" w:ascii="仿宋_GB2312" w:hAnsi="仿宋_GB2312" w:eastAsia="仿宋_GB2312" w:cs="仿宋_GB2312"/>
          <w:sz w:val="32"/>
          <w:szCs w:val="32"/>
          <w:lang w:val="en-US" w:eastAsia="zh-CN"/>
        </w:rPr>
        <w:t>根据老年人需求和评估结果，与老年人及其监护人共同协商制定服务方案，并签订协议，服务协议包括服务双方基本信息、服务项目、服务时间频次、服务期限、服务收费、服务中止情形、双方权利义务、风险责任分担、争议解决方式等。</w:t>
      </w:r>
    </w:p>
    <w:p w14:paraId="5A3511D1">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4.服务准备。服务前与老年人或监护人进行预约，告知老年人或监护人到达时间、服务内容和注意事项。按预约时间到达，征得老年人或监护人同意后入户。</w:t>
      </w:r>
    </w:p>
    <w:p w14:paraId="5A8E2488">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5.服务实施。严格按照约定内容提供服务，遵守服务规范和操作流程，尊重老人，不得擅自增减服务项目或改变服务标准。服务结束时，服务人员应征询老年人或监护人的意见，通过签字、录音等方式完成服务验收后离开服务现场，并做好记录。</w:t>
      </w:r>
    </w:p>
    <w:p w14:paraId="4B73FC21">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6.服务评价与改进。服务评价涵盖服务组织自评、服务对象评价及第三方评价，聚焦服务协议与方案签订、服务满意度、履约情况、服务记录等核心内容。服务组织需系统分析评价结果及服务过程中发现的问题，制定针对性整改措施，及时优化服务并向服务对象或第三方反馈，持续提升服务质量。</w:t>
      </w:r>
    </w:p>
    <w:p w14:paraId="0FC48839">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仿宋_GB2312" w:hAnsi="仿宋_GB2312" w:eastAsia="仿宋_GB2312" w:cs="仿宋_GB2312"/>
          <w:b w:val="0"/>
          <w:bCs w:val="0"/>
          <w:sz w:val="32"/>
          <w:szCs w:val="32"/>
          <w:lang w:val="en-US" w:eastAsia="zh-CN"/>
        </w:rPr>
      </w:pPr>
    </w:p>
    <w:p w14:paraId="0956CC4A">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textAlignment w:val="auto"/>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第三章 服务机构管理</w:t>
      </w:r>
    </w:p>
    <w:p w14:paraId="6FAA282C">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第六条 准入条件</w:t>
      </w:r>
    </w:p>
    <w:p w14:paraId="11D3C3AF">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1.依法取得营业执照或社会组织登记证书，经营范围包含养老服务相关内容;</w:t>
      </w:r>
    </w:p>
    <w:p w14:paraId="543CB477">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2.具备固定办公场所和相应服务设施设备，拥有稳定的服务团队和管理制度；</w:t>
      </w:r>
    </w:p>
    <w:p w14:paraId="5B75F745">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3.接入池州市智慧养老大数据平台，承诺遵守本办法及相关服务标准;</w:t>
      </w:r>
    </w:p>
    <w:p w14:paraId="523A3E7A">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4.无重大违法违规记录，近3年内未被列入养老服务失信名单。</w:t>
      </w:r>
    </w:p>
    <w:p w14:paraId="4F362419">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第七条 机构义务</w:t>
      </w:r>
    </w:p>
    <w:p w14:paraId="47426A4F">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1.建立健全服务管理制度、安全管理制度、投诉处理制度等，定期开展服务质量自查;</w:t>
      </w:r>
    </w:p>
    <w:p w14:paraId="381CE527">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2.加强服务人员培训与管理，建立人员档案，定期组织技能考核和职业道德教育;</w:t>
      </w:r>
    </w:p>
    <w:p w14:paraId="42040E22">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3.规范服务合同管理，与服务对象或监护人签订书面服务协议，明确服务内容、收费标准、双方权利义务等;</w:t>
      </w:r>
    </w:p>
    <w:p w14:paraId="1A1458CB">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4.配合监管部门开展检查考核，及时整改存在的问题，如实提供服务记录和相关资料。</w:t>
      </w:r>
    </w:p>
    <w:p w14:paraId="58460E20">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val="en-US" w:eastAsia="zh-CN"/>
        </w:rPr>
      </w:pPr>
    </w:p>
    <w:p w14:paraId="717B517D">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textAlignment w:val="auto"/>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第四章 监督管理</w:t>
      </w:r>
    </w:p>
    <w:p w14:paraId="6E9286A5">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第八条 监管主体及职责</w:t>
      </w:r>
    </w:p>
    <w:p w14:paraId="1724415E">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1.市民政部门负责统筹协调全市上门服务监管工作，制定服务标准和考核细则，组织开展全市性监督检查和行业评优评先;</w:t>
      </w:r>
    </w:p>
    <w:p w14:paraId="46DA3AAF">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2.县级民政部门负责本行政区域内服务机构日常监管、服务质量考核等工作，及时处理服务投诉和纠纷;</w:t>
      </w:r>
    </w:p>
    <w:p w14:paraId="2132F96A">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第九条 监管方式</w:t>
      </w:r>
    </w:p>
    <w:p w14:paraId="5E51D0AB">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1.信息化监管:依托智慧养老平台，对服务流程、服务时长、服务评价等数据进行实时监测，对异常情况自动预警，实现“全程留痕、可追溯”；</w:t>
      </w:r>
    </w:p>
    <w:p w14:paraId="4126B0F0">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2.日常检查:县级民政部门每季度至少开展1次现场检查，重点核查服务质量、安全管理、人员资质等情况;</w:t>
      </w:r>
    </w:p>
    <w:p w14:paraId="1B53A0EB">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3.第三方评估:每年可委托第三方机构对服务机构进行综合评估;</w:t>
      </w:r>
    </w:p>
    <w:p w14:paraId="5C9D1763">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4.社会监督:畅通投诉举报渠道(公布投诉电话、线上投诉入口)，接受老年人、监护人及社会公众监督;服务对象可通过智慧养老平台对服务质量进行实时评价。</w:t>
      </w:r>
    </w:p>
    <w:p w14:paraId="6B25D34E">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第十条 监管结果应用</w:t>
      </w:r>
    </w:p>
    <w:p w14:paraId="1DD80D24">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监管结果(含日常检查、第三方评估、服务评价等)作为服务机构服务经费结算、资质等级评定、行业评优评先的重要依据;</w:t>
      </w:r>
    </w:p>
    <w:p w14:paraId="65E10E06">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1.对服务质量优良、群众满意度高的机构，优先给予政策扶持、资金补贴，并在行业内予以表彰推广;</w:t>
      </w:r>
    </w:p>
    <w:p w14:paraId="18DBC5F8">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2.对存在违规行为的机构，责令限期整改:逾期未整改或整改不到位的，暂停服务经费结算，情节严重的，移出智慧养老平台，取消服务资质;涉嫌违法的，依法追究法律责任。</w:t>
      </w:r>
    </w:p>
    <w:p w14:paraId="4D888605">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第十一条 机构违规责任</w:t>
      </w:r>
    </w:p>
    <w:p w14:paraId="23951DA9">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承接政府购买居家养老上门服务的服务组织在服务管理过程中出现下列情形的，</w:t>
      </w:r>
      <w:r>
        <w:rPr>
          <w:rFonts w:hint="eastAsia" w:ascii="仿宋_GB2312" w:hAnsi="仿宋_GB2312" w:eastAsia="仿宋_GB2312" w:cs="仿宋_GB2312"/>
          <w:sz w:val="32"/>
          <w:szCs w:val="32"/>
          <w:lang w:val="en-US" w:eastAsia="zh-CN"/>
        </w:rPr>
        <w:t>市、县（区）</w:t>
      </w:r>
      <w:r>
        <w:rPr>
          <w:rFonts w:hint="default" w:ascii="仿宋_GB2312" w:hAnsi="仿宋_GB2312" w:eastAsia="仿宋_GB2312" w:cs="仿宋_GB2312"/>
          <w:sz w:val="32"/>
          <w:szCs w:val="32"/>
          <w:lang w:val="en-US" w:eastAsia="zh-CN"/>
        </w:rPr>
        <w:t>民政部门应当下发整改通知书，责令限期整改；整改不到位的，可以要求实施主体单方面终止委托服务协议，并将有违法行为的服务组织及其他法定代表人依法依规列入失信名单，实施联合惩戒；通过提供虚假信息等方式骗取政府资金的，还应追回资金；涉嫌犯罪的，依法移送司法机关处理。</w:t>
      </w:r>
    </w:p>
    <w:p w14:paraId="68CFA8B6">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w:t>
      </w:r>
      <w:r>
        <w:rPr>
          <w:rFonts w:hint="default" w:ascii="仿宋_GB2312" w:hAnsi="仿宋_GB2312" w:eastAsia="仿宋_GB2312" w:cs="仿宋_GB2312"/>
          <w:sz w:val="32"/>
          <w:szCs w:val="32"/>
          <w:lang w:val="en-US" w:eastAsia="zh-CN"/>
        </w:rPr>
        <w:t>经抽查或投诉举报查实，未按照护方案和标准要求提供服务的；</w:t>
      </w:r>
    </w:p>
    <w:p w14:paraId="3ACDC699">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w:t>
      </w:r>
      <w:r>
        <w:rPr>
          <w:rFonts w:hint="default" w:ascii="仿宋_GB2312" w:hAnsi="仿宋_GB2312" w:eastAsia="仿宋_GB2312" w:cs="仿宋_GB2312"/>
          <w:sz w:val="32"/>
          <w:szCs w:val="32"/>
          <w:lang w:val="en-US" w:eastAsia="zh-CN"/>
        </w:rPr>
        <w:t>向老年人兜售保健品或组织、诱导老年人参与非法集资，实施养老诈骗或为养老诈骗提供方便的；</w:t>
      </w:r>
    </w:p>
    <w:p w14:paraId="49BE2DF9">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w:t>
      </w:r>
      <w:r>
        <w:rPr>
          <w:rFonts w:hint="default" w:ascii="仿宋_GB2312" w:hAnsi="仿宋_GB2312" w:eastAsia="仿宋_GB2312" w:cs="仿宋_GB2312"/>
          <w:sz w:val="32"/>
          <w:szCs w:val="32"/>
          <w:lang w:val="en-US" w:eastAsia="zh-CN"/>
        </w:rPr>
        <w:t>引导服务对象参与赌博、宗教迷信等违法违规活动的；</w:t>
      </w:r>
    </w:p>
    <w:p w14:paraId="0C2A4AE3">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w:t>
      </w:r>
      <w:r>
        <w:rPr>
          <w:rFonts w:hint="default" w:ascii="仿宋_GB2312" w:hAnsi="仿宋_GB2312" w:eastAsia="仿宋_GB2312" w:cs="仿宋_GB2312"/>
          <w:sz w:val="32"/>
          <w:szCs w:val="32"/>
          <w:lang w:val="en-US" w:eastAsia="zh-CN"/>
        </w:rPr>
        <w:t>通过提供虚假信息等方式骗取政府补助的；</w:t>
      </w:r>
    </w:p>
    <w:p w14:paraId="74BDC0C7">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w:t>
      </w:r>
      <w:r>
        <w:rPr>
          <w:rFonts w:hint="default" w:ascii="仿宋_GB2312" w:hAnsi="仿宋_GB2312" w:eastAsia="仿宋_GB2312" w:cs="仿宋_GB2312"/>
          <w:sz w:val="32"/>
          <w:szCs w:val="32"/>
          <w:lang w:val="en-US" w:eastAsia="zh-CN"/>
        </w:rPr>
        <w:t>有严重侵犯老年人合法权益等其他违法违规行为的。</w:t>
      </w:r>
    </w:p>
    <w:p w14:paraId="32EB6D60">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黑体" w:hAnsi="黑体" w:eastAsia="黑体" w:cs="黑体"/>
          <w:sz w:val="32"/>
          <w:szCs w:val="32"/>
          <w:lang w:val="en-US" w:eastAsia="zh-CN"/>
        </w:rPr>
        <w:t xml:space="preserve">第十二条 </w:t>
      </w:r>
      <w:r>
        <w:rPr>
          <w:rFonts w:hint="default" w:ascii="仿宋_GB2312" w:hAnsi="仿宋_GB2312" w:eastAsia="仿宋_GB2312" w:cs="仿宋_GB2312"/>
          <w:sz w:val="32"/>
          <w:szCs w:val="32"/>
          <w:lang w:val="en-US" w:eastAsia="zh-CN"/>
        </w:rPr>
        <w:t>有关行政机关及其工作人员，在政府购买居家养老上门服务工作中存在滥用职权、玩忽职守、徇私舞弊等违法违纪行为的，按照有关规定追究相应责任；涉嫌犯罪的，依法移送司法机关处理。</w:t>
      </w:r>
    </w:p>
    <w:p w14:paraId="7EAF91C5">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仿宋_GB2312" w:hAnsi="仿宋_GB2312" w:eastAsia="仿宋_GB2312" w:cs="仿宋_GB2312"/>
          <w:sz w:val="32"/>
          <w:szCs w:val="32"/>
          <w:lang w:val="en-US" w:eastAsia="zh-CN"/>
        </w:rPr>
      </w:pPr>
    </w:p>
    <w:p w14:paraId="6E6CCD5F">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sz w:val="32"/>
          <w:szCs w:val="32"/>
          <w:lang w:val="en-US" w:eastAsia="zh-CN"/>
        </w:rPr>
      </w:pPr>
      <w:r>
        <w:rPr>
          <w:rFonts w:hint="eastAsia" w:ascii="黑体" w:hAnsi="黑体" w:eastAsia="黑体" w:cs="黑体"/>
          <w:sz w:val="32"/>
          <w:szCs w:val="32"/>
          <w:lang w:val="en-US" w:eastAsia="zh-CN"/>
        </w:rPr>
        <w:t>第五章 附则</w:t>
      </w:r>
      <w:r>
        <w:rPr>
          <w:rFonts w:hint="eastAsia" w:ascii="仿宋_GB2312" w:hAnsi="仿宋_GB2312" w:eastAsia="仿宋_GB2312" w:cs="仿宋_GB2312"/>
          <w:sz w:val="32"/>
          <w:szCs w:val="32"/>
          <w:lang w:val="en-US" w:eastAsia="zh-CN"/>
        </w:rPr>
        <w:t xml:space="preserve"> </w:t>
      </w:r>
    </w:p>
    <w:p w14:paraId="25A90A5F">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本办法由池州市民政局负责解释。</w:t>
      </w:r>
    </w:p>
    <w:p w14:paraId="65A48C6A">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本细则自202</w:t>
      </w:r>
      <w:r>
        <w:rPr>
          <w:rFonts w:hint="eastAsia" w:ascii="仿宋_GB2312" w:hAnsi="仿宋_GB2312" w:eastAsia="仿宋_GB2312" w:cs="仿宋_GB2312"/>
          <w:sz w:val="32"/>
          <w:szCs w:val="32"/>
          <w:lang w:val="en-US" w:eastAsia="zh-CN"/>
        </w:rPr>
        <w:t>5</w:t>
      </w:r>
      <w:r>
        <w:rPr>
          <w:rFonts w:hint="default" w:ascii="仿宋_GB2312" w:hAnsi="仿宋_GB2312" w:eastAsia="仿宋_GB2312" w:cs="仿宋_GB2312"/>
          <w:sz w:val="32"/>
          <w:szCs w:val="32"/>
          <w:lang w:val="en-US" w:eastAsia="zh-CN"/>
        </w:rPr>
        <w:t>年</w:t>
      </w:r>
      <w:r>
        <w:rPr>
          <w:rFonts w:hint="eastAsia" w:ascii="仿宋_GB2312" w:hAnsi="仿宋_GB2312" w:eastAsia="仿宋_GB2312" w:cs="仿宋_GB2312"/>
          <w:sz w:val="32"/>
          <w:szCs w:val="32"/>
          <w:lang w:val="en-US" w:eastAsia="zh-CN"/>
        </w:rPr>
        <w:t>X</w:t>
      </w:r>
      <w:r>
        <w:rPr>
          <w:rFonts w:hint="default" w:ascii="仿宋_GB2312" w:hAnsi="仿宋_GB2312" w:eastAsia="仿宋_GB2312" w:cs="仿宋_GB2312"/>
          <w:sz w:val="32"/>
          <w:szCs w:val="32"/>
          <w:lang w:val="en-US" w:eastAsia="zh-CN"/>
        </w:rPr>
        <w:t>月</w:t>
      </w:r>
      <w:r>
        <w:rPr>
          <w:rFonts w:hint="eastAsia" w:ascii="仿宋_GB2312" w:hAnsi="仿宋_GB2312" w:eastAsia="仿宋_GB2312" w:cs="仿宋_GB2312"/>
          <w:sz w:val="32"/>
          <w:szCs w:val="32"/>
          <w:lang w:val="en-US" w:eastAsia="zh-CN"/>
        </w:rPr>
        <w:t>X</w:t>
      </w:r>
      <w:r>
        <w:rPr>
          <w:rFonts w:hint="default" w:ascii="仿宋_GB2312" w:hAnsi="仿宋_GB2312" w:eastAsia="仿宋_GB2312" w:cs="仿宋_GB2312"/>
          <w:sz w:val="32"/>
          <w:szCs w:val="32"/>
          <w:lang w:val="en-US" w:eastAsia="zh-CN"/>
        </w:rPr>
        <w:t>日起施行，</w:t>
      </w:r>
      <w:r>
        <w:rPr>
          <w:rFonts w:hint="eastAsia" w:ascii="仿宋_GB2312" w:hAnsi="仿宋_GB2312" w:eastAsia="仿宋_GB2312" w:cs="仿宋_GB2312"/>
          <w:sz w:val="32"/>
          <w:szCs w:val="32"/>
          <w:lang w:val="en-US" w:eastAsia="zh-CN"/>
        </w:rPr>
        <w:t>试行期2</w:t>
      </w:r>
      <w:r>
        <w:rPr>
          <w:rFonts w:hint="default" w:ascii="仿宋_GB2312" w:hAnsi="仿宋_GB2312" w:eastAsia="仿宋_GB2312" w:cs="仿宋_GB2312"/>
          <w:sz w:val="32"/>
          <w:szCs w:val="32"/>
          <w:lang w:val="en-US" w:eastAsia="zh-CN"/>
        </w:rPr>
        <w:t>年。本局之前制定的有关文件与本细则不一致的，以本细则为准。</w:t>
      </w:r>
    </w:p>
    <w:p w14:paraId="3102FC4B">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仿宋_GB2312" w:hAnsi="仿宋_GB2312" w:eastAsia="仿宋_GB2312" w:cs="仿宋_GB2312"/>
          <w:sz w:val="32"/>
          <w:szCs w:val="32"/>
          <w:lang w:val="en-US" w:eastAsia="zh-CN"/>
        </w:rPr>
      </w:pPr>
    </w:p>
    <w:p w14:paraId="7BB76FB9">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仿宋_GB2312" w:hAnsi="仿宋_GB2312" w:eastAsia="仿宋_GB2312" w:cs="仿宋_GB2312"/>
          <w:sz w:val="32"/>
          <w:szCs w:val="32"/>
          <w:lang w:val="en-US" w:eastAsia="zh-CN"/>
        </w:rPr>
      </w:pPr>
    </w:p>
    <w:p w14:paraId="2F71E73F">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仿宋_GB2312" w:hAnsi="仿宋_GB2312" w:eastAsia="仿宋_GB2312" w:cs="仿宋_GB2312"/>
          <w:sz w:val="32"/>
          <w:szCs w:val="32"/>
          <w:lang w:val="en-US" w:eastAsia="zh-CN"/>
        </w:rPr>
      </w:pPr>
    </w:p>
    <w:p w14:paraId="44B255DE">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仿宋_GB2312" w:hAnsi="仿宋_GB2312" w:eastAsia="仿宋_GB2312" w:cs="仿宋_GB2312"/>
          <w:sz w:val="32"/>
          <w:szCs w:val="32"/>
          <w:lang w:val="en-US" w:eastAsia="zh-CN"/>
        </w:rPr>
      </w:pPr>
    </w:p>
    <w:p w14:paraId="4436F6B6">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仿宋_GB2312" w:hAnsi="仿宋_GB2312" w:eastAsia="仿宋_GB2312" w:cs="仿宋_GB2312"/>
          <w:sz w:val="32"/>
          <w:szCs w:val="32"/>
          <w:lang w:val="en-US" w:eastAsia="zh-CN"/>
        </w:rPr>
      </w:pPr>
    </w:p>
    <w:p w14:paraId="0816E09E">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仿宋_GB2312" w:hAnsi="仿宋_GB2312" w:eastAsia="仿宋_GB2312" w:cs="仿宋_GB2312"/>
          <w:sz w:val="32"/>
          <w:szCs w:val="32"/>
          <w:lang w:val="en-US" w:eastAsia="zh-CN"/>
        </w:rPr>
      </w:pPr>
    </w:p>
    <w:p w14:paraId="538791C1">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仿宋_GB2312" w:hAnsi="仿宋_GB2312" w:eastAsia="仿宋_GB2312" w:cs="仿宋_GB2312"/>
          <w:sz w:val="32"/>
          <w:szCs w:val="32"/>
          <w:lang w:val="en-US" w:eastAsia="zh-CN"/>
        </w:rPr>
      </w:pPr>
    </w:p>
    <w:p w14:paraId="40B3F528">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仿宋_GB2312" w:hAnsi="仿宋_GB2312" w:eastAsia="仿宋_GB2312" w:cs="仿宋_GB2312"/>
          <w:sz w:val="32"/>
          <w:szCs w:val="32"/>
          <w:lang w:val="en-US" w:eastAsia="zh-CN"/>
        </w:rPr>
      </w:pPr>
    </w:p>
    <w:p w14:paraId="56971068">
      <w:pPr>
        <w:rPr>
          <w:rFonts w:hint="default" w:ascii="仿宋_GB2312" w:hAnsi="仿宋_GB2312" w:eastAsia="仿宋_GB2312" w:cs="仿宋_GB2312"/>
          <w:sz w:val="32"/>
          <w:szCs w:val="32"/>
          <w:lang w:val="en-US" w:eastAsia="zh-CN"/>
        </w:rPr>
      </w:pPr>
      <w:bookmarkStart w:id="0" w:name="_GoBack"/>
      <w:bookmarkEnd w:id="0"/>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503050405090304"/>
    <w:charset w:val="CC"/>
    <w:family w:val="roman"/>
    <w:pitch w:val="default"/>
    <w:sig w:usb0="00000000" w:usb1="00000000" w:usb2="00000001" w:usb3="00000000" w:csb0="400001BF" w:csb1="DFF7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06E30B">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5888CA">
                          <w:pPr>
                            <w:pStyle w:val="2"/>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r>
                            <w:rPr>
                              <w:sz w:val="24"/>
                              <w:szCs w:val="24"/>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B5888CA">
                    <w:pPr>
                      <w:pStyle w:val="2"/>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r>
                      <w:rPr>
                        <w:sz w:val="24"/>
                        <w:szCs w:val="24"/>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9C01B75"/>
    <w:rsid w:val="016D4D19"/>
    <w:rsid w:val="026003DA"/>
    <w:rsid w:val="03650344"/>
    <w:rsid w:val="045D2CDA"/>
    <w:rsid w:val="08EF118D"/>
    <w:rsid w:val="0C1666D9"/>
    <w:rsid w:val="0F2B249C"/>
    <w:rsid w:val="109C74DE"/>
    <w:rsid w:val="139E2E9A"/>
    <w:rsid w:val="153E0A4F"/>
    <w:rsid w:val="15543DCE"/>
    <w:rsid w:val="1A8B64E4"/>
    <w:rsid w:val="1AF21659"/>
    <w:rsid w:val="20230F6D"/>
    <w:rsid w:val="212E7BC9"/>
    <w:rsid w:val="23072480"/>
    <w:rsid w:val="23805FCC"/>
    <w:rsid w:val="24376272"/>
    <w:rsid w:val="24E16A49"/>
    <w:rsid w:val="264D6D44"/>
    <w:rsid w:val="28AA3FD9"/>
    <w:rsid w:val="29C01B75"/>
    <w:rsid w:val="2BD66E93"/>
    <w:rsid w:val="2F7B4FA2"/>
    <w:rsid w:val="30045BF1"/>
    <w:rsid w:val="3166515D"/>
    <w:rsid w:val="32987598"/>
    <w:rsid w:val="33294694"/>
    <w:rsid w:val="35A2753B"/>
    <w:rsid w:val="38815554"/>
    <w:rsid w:val="3A3F7562"/>
    <w:rsid w:val="3B8227AD"/>
    <w:rsid w:val="3BC53136"/>
    <w:rsid w:val="3CA202DF"/>
    <w:rsid w:val="3CA20495"/>
    <w:rsid w:val="3E2717D1"/>
    <w:rsid w:val="40D21EC7"/>
    <w:rsid w:val="42722B78"/>
    <w:rsid w:val="476870E2"/>
    <w:rsid w:val="4E3F66C2"/>
    <w:rsid w:val="4F515F4D"/>
    <w:rsid w:val="54406B67"/>
    <w:rsid w:val="56150435"/>
    <w:rsid w:val="56B77175"/>
    <w:rsid w:val="5778511F"/>
    <w:rsid w:val="58F46A27"/>
    <w:rsid w:val="58FF717A"/>
    <w:rsid w:val="5AAA42D2"/>
    <w:rsid w:val="5BA256EF"/>
    <w:rsid w:val="5DBE6456"/>
    <w:rsid w:val="5E8E6FD6"/>
    <w:rsid w:val="5ED7C813"/>
    <w:rsid w:val="63D25BB7"/>
    <w:rsid w:val="63D556A7"/>
    <w:rsid w:val="64F61D79"/>
    <w:rsid w:val="67B10EDE"/>
    <w:rsid w:val="6A093829"/>
    <w:rsid w:val="6B944422"/>
    <w:rsid w:val="6CA86ED0"/>
    <w:rsid w:val="6DF66946"/>
    <w:rsid w:val="70B00AAA"/>
    <w:rsid w:val="716C1728"/>
    <w:rsid w:val="71C137C8"/>
    <w:rsid w:val="722577FA"/>
    <w:rsid w:val="73137F9A"/>
    <w:rsid w:val="738E187F"/>
    <w:rsid w:val="7434192E"/>
    <w:rsid w:val="77C90C27"/>
    <w:rsid w:val="78F82A4C"/>
    <w:rsid w:val="792812D1"/>
    <w:rsid w:val="7D8F171F"/>
    <w:rsid w:val="7DF760D5"/>
    <w:rsid w:val="7FA51F7A"/>
    <w:rsid w:val="ADF2AB4E"/>
    <w:rsid w:val="D7733964"/>
    <w:rsid w:val="DFF7F9D2"/>
    <w:rsid w:val="FDFB60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2614</Words>
  <Characters>2638</Characters>
  <Lines>0</Lines>
  <Paragraphs>0</Paragraphs>
  <TotalTime>0</TotalTime>
  <ScaleCrop>false</ScaleCrop>
  <LinksUpToDate>false</LinksUpToDate>
  <CharactersWithSpaces>2678</CharactersWithSpaces>
  <Application>WPS Office_12.8.2.1119_F1E327BC-269C-435d-A152-05C5408002CA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2025-11-13T03:27:00Z</dcterms:created>
  <dc:creator>王晗</dc:creator>
  <cp:lastModifiedBy>sugon</cp:lastModifiedBy>
  <dcterms:modified xsi:type="dcterms:W3CDTF">2025-12-10T17:18:12Z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7448733F42DBC9605DCE3869AD0AE60F_43</vt:lpwstr>
  </property>
  <property fmtid="{D5CDD505-2E9C-101B-9397-08002B2CF9AE}" pid="4" name="KSOTemplateDocerSaveRecord">
    <vt:lpwstr>eyJoZGlkIjoiZWJkNDgwZjk1MjY4N2FmNWIwYTJkYWIxMjY1MWNlODQiLCJ1c2VySWQiOiIyOTUwNzI0NjEifQ==</vt:lpwstr>
  </property>
</Properties>
</file>